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CellMar>
          <w:left w:w="0" w:type="dxa"/>
          <w:right w:w="0" w:type="dxa"/>
        </w:tblCellMar>
        <w:tblLook w:val="0000"/>
      </w:tblPr>
      <w:tblGrid>
        <w:gridCol w:w="3756"/>
        <w:gridCol w:w="5712"/>
      </w:tblGrid>
      <w:tr w:rsidR="00494682" w:rsidRPr="00845358" w:rsidTr="006071BD">
        <w:trPr>
          <w:trHeight w:val="540"/>
        </w:trPr>
        <w:tc>
          <w:tcPr>
            <w:tcW w:w="3756" w:type="dxa"/>
            <w:tcMar>
              <w:top w:w="0" w:type="dxa"/>
              <w:left w:w="108" w:type="dxa"/>
              <w:bottom w:w="0" w:type="dxa"/>
              <w:right w:w="108" w:type="dxa"/>
            </w:tcMar>
          </w:tcPr>
          <w:p w:rsidR="00494682" w:rsidRPr="00845358" w:rsidRDefault="007A4432" w:rsidP="00494682">
            <w:pPr>
              <w:spacing w:before="100" w:beforeAutospacing="1" w:after="120"/>
              <w:jc w:val="center"/>
              <w:rPr>
                <w:sz w:val="26"/>
                <w:szCs w:val="26"/>
              </w:rPr>
            </w:pPr>
            <w:r w:rsidRPr="007A4432">
              <w:rPr>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39.45pt;margin-top:19.1pt;width:98.25pt;height:0;z-index:251659264" o:connectortype="straight"/>
              </w:pict>
            </w:r>
            <w:r w:rsidR="00494682" w:rsidRPr="00845358">
              <w:rPr>
                <w:b/>
                <w:bCs/>
                <w:sz w:val="26"/>
                <w:szCs w:val="26"/>
              </w:rPr>
              <w:t>THỦ TƯỚNG CHÍNH PHỦ</w:t>
            </w:r>
            <w:r w:rsidR="00494682" w:rsidRPr="00845358">
              <w:rPr>
                <w:sz w:val="26"/>
                <w:szCs w:val="26"/>
              </w:rPr>
              <w:br/>
            </w:r>
          </w:p>
        </w:tc>
        <w:tc>
          <w:tcPr>
            <w:tcW w:w="5712" w:type="dxa"/>
            <w:tcMar>
              <w:top w:w="0" w:type="dxa"/>
              <w:left w:w="108" w:type="dxa"/>
              <w:bottom w:w="0" w:type="dxa"/>
              <w:right w:w="108" w:type="dxa"/>
            </w:tcMar>
          </w:tcPr>
          <w:p w:rsidR="00494682" w:rsidRPr="00845358" w:rsidRDefault="007A4432" w:rsidP="00494682">
            <w:pPr>
              <w:spacing w:before="100" w:beforeAutospacing="1" w:after="120"/>
              <w:jc w:val="center"/>
              <w:rPr>
                <w:sz w:val="26"/>
                <w:szCs w:val="26"/>
              </w:rPr>
            </w:pPr>
            <w:r w:rsidRPr="007A4432">
              <w:rPr>
                <w:b/>
                <w:bCs/>
                <w:noProof/>
                <w:sz w:val="26"/>
                <w:szCs w:val="26"/>
              </w:rPr>
              <w:pict>
                <v:shape id="_x0000_s1026" type="#_x0000_t32" style="position:absolute;left:0;text-align:left;margin-left:70.65pt;margin-top:34.1pt;width:136.5pt;height:0;z-index:251658240;mso-position-horizontal-relative:text;mso-position-vertical-relative:text" o:connectortype="straight"/>
              </w:pict>
            </w:r>
            <w:r w:rsidR="00494682" w:rsidRPr="00845358">
              <w:rPr>
                <w:b/>
                <w:bCs/>
                <w:sz w:val="26"/>
                <w:szCs w:val="26"/>
              </w:rPr>
              <w:t>CỘNG HÒA XÃ HỘI CHỦ NGHĨA VIỆT NAM</w:t>
            </w:r>
            <w:r w:rsidR="00494682" w:rsidRPr="00845358">
              <w:rPr>
                <w:b/>
                <w:bCs/>
                <w:sz w:val="26"/>
                <w:szCs w:val="26"/>
              </w:rPr>
              <w:br/>
            </w:r>
            <w:r w:rsidR="00494682" w:rsidRPr="00494682">
              <w:rPr>
                <w:b/>
                <w:bCs/>
                <w:sz w:val="28"/>
                <w:szCs w:val="28"/>
              </w:rPr>
              <w:t>Độc lập - Tự do - Hạnh phúc</w:t>
            </w:r>
            <w:r w:rsidR="00494682" w:rsidRPr="00845358">
              <w:rPr>
                <w:b/>
                <w:bCs/>
                <w:sz w:val="26"/>
                <w:szCs w:val="26"/>
              </w:rPr>
              <w:br/>
            </w:r>
          </w:p>
        </w:tc>
      </w:tr>
      <w:tr w:rsidR="00494682" w:rsidRPr="00845358" w:rsidTr="006071BD">
        <w:tc>
          <w:tcPr>
            <w:tcW w:w="3756" w:type="dxa"/>
            <w:tcMar>
              <w:top w:w="0" w:type="dxa"/>
              <w:left w:w="108" w:type="dxa"/>
              <w:bottom w:w="0" w:type="dxa"/>
              <w:right w:w="108" w:type="dxa"/>
            </w:tcMar>
          </w:tcPr>
          <w:p w:rsidR="00494682" w:rsidRPr="00845358" w:rsidRDefault="007A4432" w:rsidP="00494682">
            <w:pPr>
              <w:spacing w:before="100" w:beforeAutospacing="1" w:after="120"/>
              <w:jc w:val="center"/>
              <w:rPr>
                <w:sz w:val="28"/>
                <w:szCs w:val="28"/>
              </w:rPr>
            </w:pPr>
            <w:r w:rsidRPr="007A4432">
              <w:rPr>
                <w:b/>
                <w:bCs/>
                <w:noProof/>
                <w:sz w:val="28"/>
                <w:szCs w:val="28"/>
                <w:lang w:eastAsia="zh-TW"/>
              </w:rPr>
              <w:pict>
                <v:shapetype id="_x0000_t202" coordsize="21600,21600" o:spt="202" path="m,l,21600r21600,l21600,xe">
                  <v:stroke joinstyle="miter"/>
                  <v:path gradientshapeok="t" o:connecttype="rect"/>
                </v:shapetype>
                <v:shape id="_x0000_s1028" type="#_x0000_t202" style="position:absolute;left:0;text-align:left;margin-left:57.75pt;margin-top:18.75pt;width:60.45pt;height:18.1pt;z-index:251661312;mso-position-horizontal-relative:text;mso-position-vertical-relative:text;mso-width-relative:margin;mso-height-relative:margin">
                  <v:textbox>
                    <w:txbxContent>
                      <w:p w:rsidR="00C96DB7" w:rsidRPr="00C96DB7" w:rsidRDefault="00C96DB7">
                        <w:pPr>
                          <w:rPr>
                            <w:sz w:val="20"/>
                          </w:rPr>
                        </w:pPr>
                        <w:r w:rsidRPr="00C96DB7">
                          <w:rPr>
                            <w:sz w:val="20"/>
                          </w:rPr>
                          <w:t>DỰ THẢO</w:t>
                        </w:r>
                      </w:p>
                    </w:txbxContent>
                  </v:textbox>
                </v:shape>
              </w:pict>
            </w:r>
            <w:r w:rsidR="00494682" w:rsidRPr="00845358">
              <w:rPr>
                <w:sz w:val="28"/>
                <w:szCs w:val="28"/>
              </w:rPr>
              <w:t xml:space="preserve">Số: </w:t>
            </w:r>
            <w:r w:rsidR="00494682">
              <w:rPr>
                <w:sz w:val="28"/>
                <w:szCs w:val="28"/>
              </w:rPr>
              <w:t xml:space="preserve">     </w:t>
            </w:r>
            <w:r w:rsidR="00494682" w:rsidRPr="00845358">
              <w:rPr>
                <w:sz w:val="28"/>
                <w:szCs w:val="28"/>
              </w:rPr>
              <w:t>/20</w:t>
            </w:r>
            <w:r w:rsidR="00494682">
              <w:rPr>
                <w:sz w:val="28"/>
                <w:szCs w:val="28"/>
              </w:rPr>
              <w:t>18</w:t>
            </w:r>
            <w:r w:rsidR="00494682" w:rsidRPr="00845358">
              <w:rPr>
                <w:sz w:val="28"/>
                <w:szCs w:val="28"/>
              </w:rPr>
              <w:t xml:space="preserve">/QĐ-TTg </w:t>
            </w:r>
          </w:p>
        </w:tc>
        <w:tc>
          <w:tcPr>
            <w:tcW w:w="5712" w:type="dxa"/>
            <w:tcMar>
              <w:top w:w="0" w:type="dxa"/>
              <w:left w:w="108" w:type="dxa"/>
              <w:bottom w:w="0" w:type="dxa"/>
              <w:right w:w="108" w:type="dxa"/>
            </w:tcMar>
          </w:tcPr>
          <w:p w:rsidR="00494682" w:rsidRPr="00845358" w:rsidRDefault="00494682" w:rsidP="00494682">
            <w:pPr>
              <w:spacing w:before="100" w:beforeAutospacing="1" w:after="120"/>
              <w:jc w:val="right"/>
              <w:rPr>
                <w:sz w:val="28"/>
                <w:szCs w:val="28"/>
              </w:rPr>
            </w:pPr>
            <w:r w:rsidRPr="00845358">
              <w:rPr>
                <w:i/>
                <w:iCs/>
                <w:sz w:val="28"/>
                <w:szCs w:val="28"/>
              </w:rPr>
              <w:t xml:space="preserve">Hà Nội, ngày </w:t>
            </w:r>
            <w:r>
              <w:rPr>
                <w:i/>
                <w:iCs/>
                <w:sz w:val="28"/>
                <w:szCs w:val="28"/>
              </w:rPr>
              <w:t xml:space="preserve">   </w:t>
            </w:r>
            <w:r w:rsidRPr="00845358">
              <w:rPr>
                <w:i/>
                <w:iCs/>
                <w:sz w:val="28"/>
                <w:szCs w:val="28"/>
              </w:rPr>
              <w:t xml:space="preserve"> tháng </w:t>
            </w:r>
            <w:r>
              <w:rPr>
                <w:i/>
                <w:iCs/>
                <w:sz w:val="28"/>
                <w:szCs w:val="28"/>
              </w:rPr>
              <w:t xml:space="preserve">  </w:t>
            </w:r>
            <w:r w:rsidRPr="00845358">
              <w:rPr>
                <w:i/>
                <w:iCs/>
                <w:sz w:val="28"/>
                <w:szCs w:val="28"/>
              </w:rPr>
              <w:t xml:space="preserve"> năm 20</w:t>
            </w:r>
            <w:r>
              <w:rPr>
                <w:i/>
                <w:iCs/>
                <w:sz w:val="28"/>
                <w:szCs w:val="28"/>
              </w:rPr>
              <w:t>18</w:t>
            </w:r>
          </w:p>
        </w:tc>
      </w:tr>
    </w:tbl>
    <w:p w:rsidR="00494682" w:rsidRDefault="00494682" w:rsidP="00494682">
      <w:pPr>
        <w:jc w:val="center"/>
        <w:rPr>
          <w:b/>
          <w:bCs/>
          <w:sz w:val="28"/>
          <w:szCs w:val="28"/>
        </w:rPr>
      </w:pPr>
    </w:p>
    <w:p w:rsidR="00494682" w:rsidRPr="00455F0B" w:rsidRDefault="00494682" w:rsidP="00494682">
      <w:pPr>
        <w:spacing w:before="120"/>
        <w:jc w:val="center"/>
        <w:rPr>
          <w:b/>
          <w:bCs/>
          <w:sz w:val="28"/>
          <w:szCs w:val="28"/>
        </w:rPr>
      </w:pPr>
      <w:r w:rsidRPr="00455F0B">
        <w:rPr>
          <w:b/>
          <w:bCs/>
          <w:sz w:val="28"/>
          <w:szCs w:val="28"/>
        </w:rPr>
        <w:t>QUYẾT ĐỊNH</w:t>
      </w:r>
    </w:p>
    <w:p w:rsidR="003B6CEB" w:rsidRDefault="001E2E04" w:rsidP="00494682">
      <w:pPr>
        <w:jc w:val="center"/>
        <w:rPr>
          <w:b/>
          <w:sz w:val="28"/>
          <w:szCs w:val="28"/>
          <w:lang w:val="nl-NL"/>
        </w:rPr>
      </w:pPr>
      <w:r w:rsidRPr="001E2E04">
        <w:rPr>
          <w:b/>
          <w:sz w:val="28"/>
          <w:szCs w:val="28"/>
          <w:lang w:val="nl-NL"/>
        </w:rPr>
        <w:t xml:space="preserve">Về tín dụng đối với người lao động tại huyện nghèo, huyện thoát nghèo, </w:t>
      </w:r>
    </w:p>
    <w:p w:rsidR="003B6CEB" w:rsidRDefault="001E2E04" w:rsidP="00494682">
      <w:pPr>
        <w:jc w:val="center"/>
        <w:rPr>
          <w:b/>
          <w:sz w:val="28"/>
          <w:szCs w:val="28"/>
          <w:lang w:val="nl-NL"/>
        </w:rPr>
      </w:pPr>
      <w:r w:rsidRPr="001E2E04">
        <w:rPr>
          <w:b/>
          <w:sz w:val="28"/>
          <w:szCs w:val="28"/>
          <w:lang w:val="nl-NL"/>
        </w:rPr>
        <w:t>các xã đặc biệt khó khăn vùng bãi ngang ven biển và hải đảo</w:t>
      </w:r>
    </w:p>
    <w:p w:rsidR="00494682" w:rsidRPr="00455F0B" w:rsidRDefault="001E2E04" w:rsidP="00494682">
      <w:pPr>
        <w:jc w:val="center"/>
        <w:rPr>
          <w:b/>
          <w:sz w:val="28"/>
          <w:szCs w:val="28"/>
          <w:lang w:val="nl-NL"/>
        </w:rPr>
      </w:pPr>
      <w:r w:rsidRPr="001E2E04">
        <w:rPr>
          <w:b/>
          <w:sz w:val="28"/>
          <w:szCs w:val="28"/>
          <w:lang w:val="nl-NL"/>
        </w:rPr>
        <w:t>đi làm việc ở nước ngoài theo hợp đồng</w:t>
      </w:r>
      <w:r w:rsidR="003B6CEB" w:rsidRPr="00455F0B" w:rsidDel="003B6CEB">
        <w:rPr>
          <w:b/>
          <w:sz w:val="28"/>
          <w:szCs w:val="28"/>
          <w:lang w:val="nl-NL"/>
        </w:rPr>
        <w:t xml:space="preserve"> </w:t>
      </w:r>
    </w:p>
    <w:p w:rsidR="008D455C" w:rsidRDefault="00670B2F">
      <w:pPr>
        <w:tabs>
          <w:tab w:val="center" w:pos="4536"/>
          <w:tab w:val="left" w:pos="5205"/>
        </w:tabs>
        <w:rPr>
          <w:b/>
          <w:sz w:val="28"/>
          <w:szCs w:val="28"/>
          <w:lang w:val="nl-NL"/>
        </w:rPr>
      </w:pPr>
      <w:r>
        <w:rPr>
          <w:b/>
          <w:sz w:val="28"/>
          <w:szCs w:val="28"/>
          <w:lang w:val="nl-NL"/>
        </w:rPr>
        <w:tab/>
      </w:r>
      <w:r w:rsidR="007A4432">
        <w:rPr>
          <w:b/>
          <w:noProof/>
          <w:sz w:val="28"/>
          <w:szCs w:val="28"/>
        </w:rPr>
        <w:pict>
          <v:shape id="_x0000_s1030" type="#_x0000_t32" style="position:absolute;margin-left:108.45pt;margin-top:7pt;width:240.75pt;height:0;z-index:251662336;mso-position-horizontal-relative:text;mso-position-vertical-relative:text" o:connectortype="straight"/>
        </w:pict>
      </w:r>
      <w:r>
        <w:rPr>
          <w:b/>
          <w:sz w:val="28"/>
          <w:szCs w:val="28"/>
          <w:lang w:val="nl-NL"/>
        </w:rPr>
        <w:tab/>
      </w:r>
    </w:p>
    <w:p w:rsidR="008D455C" w:rsidRDefault="001E2E04">
      <w:pPr>
        <w:spacing w:before="60" w:after="60" w:line="288" w:lineRule="auto"/>
        <w:ind w:firstLine="567"/>
        <w:jc w:val="both"/>
        <w:rPr>
          <w:i/>
          <w:iCs/>
          <w:sz w:val="28"/>
          <w:szCs w:val="28"/>
          <w:lang w:val="nl-NL"/>
        </w:rPr>
      </w:pPr>
      <w:r w:rsidRPr="001E2E04">
        <w:rPr>
          <w:i/>
          <w:iCs/>
          <w:sz w:val="28"/>
          <w:szCs w:val="28"/>
          <w:lang w:val="nl-NL"/>
        </w:rPr>
        <w:t>Căn cứ Luật Tổ chức Chính phủ ngày 19 tháng 6 năm 2015;</w:t>
      </w:r>
    </w:p>
    <w:p w:rsidR="008D455C" w:rsidRDefault="001E2E04">
      <w:pPr>
        <w:spacing w:before="60" w:after="60" w:line="288" w:lineRule="auto"/>
        <w:ind w:firstLine="567"/>
        <w:jc w:val="both"/>
        <w:rPr>
          <w:i/>
          <w:iCs/>
          <w:sz w:val="28"/>
          <w:szCs w:val="28"/>
          <w:lang w:val="nl-NL"/>
        </w:rPr>
      </w:pPr>
      <w:r w:rsidRPr="001E2E04">
        <w:rPr>
          <w:i/>
          <w:iCs/>
          <w:sz w:val="28"/>
          <w:szCs w:val="28"/>
          <w:lang w:val="nl-NL"/>
        </w:rPr>
        <w:t>Căn cứ Luật Người lao động Việt Nam đi làm việc ở nước ngoài theo hợp đồng ngày 29 tháng 11 năm 2006;</w:t>
      </w:r>
    </w:p>
    <w:p w:rsidR="001E2E04" w:rsidRPr="001E2E04" w:rsidRDefault="006F5E18" w:rsidP="001E2E04">
      <w:pPr>
        <w:spacing w:before="60" w:after="60" w:line="288" w:lineRule="auto"/>
        <w:ind w:firstLine="567"/>
        <w:jc w:val="both"/>
        <w:rPr>
          <w:i/>
          <w:iCs/>
          <w:sz w:val="28"/>
          <w:szCs w:val="28"/>
          <w:lang w:val="nl-NL"/>
        </w:rPr>
      </w:pPr>
      <w:r>
        <w:rPr>
          <w:i/>
          <w:iCs/>
          <w:sz w:val="28"/>
          <w:szCs w:val="28"/>
          <w:lang w:val="nl-NL"/>
        </w:rPr>
        <w:t xml:space="preserve">Căn cứ </w:t>
      </w:r>
      <w:r w:rsidR="001E2E04" w:rsidRPr="001E2E04">
        <w:rPr>
          <w:i/>
          <w:iCs/>
          <w:sz w:val="28"/>
          <w:szCs w:val="28"/>
          <w:lang w:val="nl-NL"/>
        </w:rPr>
        <w:t>Nghị quyết 30a/2008/NQ-CP ngày 29/12/2008 của Chính phủ</w:t>
      </w:r>
      <w:r w:rsidR="003B6CEB">
        <w:rPr>
          <w:i/>
          <w:iCs/>
          <w:sz w:val="28"/>
          <w:szCs w:val="28"/>
          <w:lang w:val="nl-NL"/>
        </w:rPr>
        <w:t>;</w:t>
      </w:r>
    </w:p>
    <w:p w:rsidR="008D455C" w:rsidRDefault="001E2E04">
      <w:pPr>
        <w:spacing w:before="60" w:after="60" w:line="288" w:lineRule="auto"/>
        <w:ind w:firstLine="567"/>
        <w:jc w:val="both"/>
        <w:rPr>
          <w:i/>
          <w:iCs/>
          <w:sz w:val="28"/>
          <w:szCs w:val="28"/>
          <w:lang w:val="nl-NL"/>
        </w:rPr>
      </w:pPr>
      <w:r w:rsidRPr="001E2E04">
        <w:rPr>
          <w:i/>
          <w:iCs/>
          <w:sz w:val="28"/>
          <w:szCs w:val="28"/>
          <w:lang w:val="nl-NL"/>
        </w:rPr>
        <w:t>Theo đề nghị của Bộ trưởng Bộ Lao động - Thương binh và Xã hội</w:t>
      </w:r>
      <w:r w:rsidR="00566E12">
        <w:rPr>
          <w:i/>
          <w:iCs/>
          <w:sz w:val="28"/>
          <w:szCs w:val="28"/>
          <w:lang w:val="nl-NL"/>
        </w:rPr>
        <w:t>;</w:t>
      </w:r>
    </w:p>
    <w:p w:rsidR="008D455C" w:rsidRDefault="001E2E04">
      <w:pPr>
        <w:spacing w:before="60" w:after="60" w:line="288" w:lineRule="auto"/>
        <w:ind w:firstLine="567"/>
        <w:jc w:val="both"/>
        <w:rPr>
          <w:i/>
          <w:iCs/>
          <w:sz w:val="28"/>
          <w:szCs w:val="28"/>
          <w:lang w:val="nl-NL"/>
        </w:rPr>
      </w:pPr>
      <w:r w:rsidRPr="001E2E04">
        <w:rPr>
          <w:i/>
          <w:iCs/>
          <w:sz w:val="28"/>
          <w:szCs w:val="28"/>
          <w:lang w:val="nl-NL"/>
        </w:rPr>
        <w:t>Thủ tướng Chính phủ ban hành Quyết định về</w:t>
      </w:r>
      <w:r w:rsidRPr="001E2E04">
        <w:rPr>
          <w:i/>
          <w:sz w:val="28"/>
          <w:szCs w:val="28"/>
          <w:lang w:val="nl-NL"/>
        </w:rPr>
        <w:t xml:space="preserve"> </w:t>
      </w:r>
      <w:r w:rsidR="00670B2F">
        <w:rPr>
          <w:i/>
          <w:sz w:val="28"/>
          <w:szCs w:val="28"/>
          <w:lang w:val="nl-NL"/>
        </w:rPr>
        <w:t xml:space="preserve">tín dụng </w:t>
      </w:r>
      <w:r>
        <w:rPr>
          <w:i/>
          <w:iCs/>
          <w:sz w:val="28"/>
          <w:szCs w:val="28"/>
          <w:lang w:val="nl-NL"/>
        </w:rPr>
        <w:t>đối với người lao động</w:t>
      </w:r>
      <w:r w:rsidR="00670B2F">
        <w:rPr>
          <w:i/>
          <w:iCs/>
          <w:sz w:val="28"/>
          <w:szCs w:val="28"/>
          <w:lang w:val="nl-NL"/>
        </w:rPr>
        <w:t xml:space="preserve"> </w:t>
      </w:r>
      <w:r w:rsidRPr="001E2E04">
        <w:rPr>
          <w:i/>
          <w:iCs/>
          <w:sz w:val="28"/>
          <w:szCs w:val="28"/>
          <w:lang w:val="nl-NL"/>
        </w:rPr>
        <w:t>tại huyện nghèo, huyện thoát nghèo, các xã đ</w:t>
      </w:r>
      <w:r>
        <w:rPr>
          <w:i/>
          <w:iCs/>
          <w:sz w:val="28"/>
          <w:szCs w:val="28"/>
          <w:lang w:val="nl-NL"/>
        </w:rPr>
        <w:t>ặc biệt khó khăn vùng bãi ngang</w:t>
      </w:r>
      <w:r w:rsidR="00670B2F">
        <w:rPr>
          <w:i/>
          <w:iCs/>
          <w:sz w:val="28"/>
          <w:szCs w:val="28"/>
          <w:lang w:val="nl-NL"/>
        </w:rPr>
        <w:t xml:space="preserve"> </w:t>
      </w:r>
      <w:r w:rsidRPr="001E2E04">
        <w:rPr>
          <w:i/>
          <w:iCs/>
          <w:sz w:val="28"/>
          <w:szCs w:val="28"/>
          <w:lang w:val="nl-NL"/>
        </w:rPr>
        <w:t>ven biển và hải đảo</w:t>
      </w:r>
      <w:r w:rsidR="00670B2F">
        <w:rPr>
          <w:i/>
          <w:iCs/>
          <w:sz w:val="28"/>
          <w:szCs w:val="28"/>
          <w:lang w:val="nl-NL"/>
        </w:rPr>
        <w:t xml:space="preserve"> </w:t>
      </w:r>
      <w:r w:rsidRPr="001E2E04">
        <w:rPr>
          <w:i/>
          <w:iCs/>
          <w:sz w:val="28"/>
          <w:szCs w:val="28"/>
          <w:lang w:val="nl-NL"/>
        </w:rPr>
        <w:t>đi làm việc ở nước ngoài theo hợp đồng</w:t>
      </w:r>
      <w:r w:rsidR="00566E12">
        <w:rPr>
          <w:i/>
          <w:iCs/>
          <w:sz w:val="28"/>
          <w:szCs w:val="28"/>
          <w:lang w:val="nl-NL"/>
        </w:rPr>
        <w:t>.</w:t>
      </w:r>
    </w:p>
    <w:p w:rsidR="008D455C" w:rsidRDefault="00B107F3">
      <w:pPr>
        <w:tabs>
          <w:tab w:val="left" w:pos="567"/>
        </w:tabs>
        <w:spacing w:before="240" w:after="60" w:line="288" w:lineRule="auto"/>
        <w:ind w:firstLine="567"/>
        <w:jc w:val="both"/>
        <w:rPr>
          <w:b/>
          <w:sz w:val="28"/>
          <w:szCs w:val="28"/>
          <w:lang w:val="nl-NL"/>
        </w:rPr>
      </w:pPr>
      <w:r w:rsidRPr="00243204">
        <w:rPr>
          <w:b/>
          <w:sz w:val="28"/>
          <w:szCs w:val="28"/>
          <w:lang w:val="nl-NL"/>
        </w:rPr>
        <w:t>Điều 1. Phạm vi điều chỉnh và đối tượng áp dụng</w:t>
      </w:r>
    </w:p>
    <w:p w:rsidR="008D455C" w:rsidRDefault="00B107F3">
      <w:pPr>
        <w:pStyle w:val="ListParagraph"/>
        <w:numPr>
          <w:ilvl w:val="0"/>
          <w:numId w:val="1"/>
        </w:numPr>
        <w:tabs>
          <w:tab w:val="left" w:pos="993"/>
        </w:tabs>
        <w:spacing w:before="120" w:line="288" w:lineRule="auto"/>
        <w:ind w:left="0" w:firstLine="567"/>
        <w:contextualSpacing w:val="0"/>
        <w:jc w:val="both"/>
        <w:rPr>
          <w:sz w:val="28"/>
          <w:szCs w:val="28"/>
        </w:rPr>
      </w:pPr>
      <w:r>
        <w:rPr>
          <w:sz w:val="28"/>
          <w:szCs w:val="28"/>
        </w:rPr>
        <w:t>Phạm vi điều chỉnh</w:t>
      </w:r>
    </w:p>
    <w:p w:rsidR="001E2E04" w:rsidRDefault="001E2E04" w:rsidP="001E2E04">
      <w:pPr>
        <w:spacing w:before="120" w:line="288" w:lineRule="auto"/>
        <w:ind w:firstLine="567"/>
        <w:jc w:val="both"/>
        <w:rPr>
          <w:sz w:val="28"/>
          <w:szCs w:val="28"/>
        </w:rPr>
      </w:pPr>
      <w:r w:rsidRPr="001E2E04">
        <w:rPr>
          <w:sz w:val="28"/>
          <w:szCs w:val="28"/>
        </w:rPr>
        <w:t>Quyết định này quy định về tín dụng chính sách xã hội cho người lao động cư trú hợp pháp tại các huyện theo Quyết định số 275/QĐ-TTg ngày 07/3/2018 của Thủ tướng Chính phủ Phê duyệt Danh sách các huyện nghèo và huyện thoát nghèo giai đoạn 2018 - 2020 và các xã đặc biệt khó khăn vùng bãi ngang ven biển và hải đảo quy định tại Quyết định số 131/QĐ-TTg ngày 25/01/2017 của Thủ tướng Chính phủ để đi làm việc ở nước ngoài theo hợp đồng.</w:t>
      </w:r>
    </w:p>
    <w:p w:rsidR="008D455C" w:rsidRDefault="003B6CEB">
      <w:pPr>
        <w:pStyle w:val="ListParagraph"/>
        <w:tabs>
          <w:tab w:val="left" w:pos="993"/>
        </w:tabs>
        <w:spacing w:before="120" w:line="288" w:lineRule="auto"/>
        <w:ind w:left="567"/>
        <w:contextualSpacing w:val="0"/>
        <w:jc w:val="both"/>
        <w:rPr>
          <w:sz w:val="28"/>
          <w:szCs w:val="28"/>
        </w:rPr>
      </w:pPr>
      <w:r>
        <w:rPr>
          <w:sz w:val="28"/>
          <w:szCs w:val="28"/>
        </w:rPr>
        <w:t xml:space="preserve">2. </w:t>
      </w:r>
      <w:bookmarkStart w:id="0" w:name="_GoBack"/>
      <w:bookmarkEnd w:id="0"/>
      <w:r w:rsidR="00B107F3">
        <w:rPr>
          <w:sz w:val="28"/>
          <w:szCs w:val="28"/>
        </w:rPr>
        <w:t>Đối tượng áp dụng</w:t>
      </w:r>
    </w:p>
    <w:p w:rsidR="008D455C" w:rsidRDefault="00B107F3" w:rsidP="006F5E18">
      <w:pPr>
        <w:pStyle w:val="ListParagraph"/>
        <w:numPr>
          <w:ilvl w:val="0"/>
          <w:numId w:val="2"/>
        </w:numPr>
        <w:tabs>
          <w:tab w:val="left" w:pos="993"/>
          <w:tab w:val="left" w:pos="1134"/>
        </w:tabs>
        <w:spacing w:before="120" w:line="288" w:lineRule="auto"/>
        <w:ind w:left="0" w:firstLine="567"/>
        <w:contextualSpacing w:val="0"/>
        <w:jc w:val="both"/>
        <w:rPr>
          <w:sz w:val="28"/>
          <w:szCs w:val="28"/>
        </w:rPr>
      </w:pPr>
      <w:r w:rsidRPr="00E3647B">
        <w:rPr>
          <w:sz w:val="28"/>
          <w:szCs w:val="28"/>
        </w:rPr>
        <w:t xml:space="preserve">Người lao động </w:t>
      </w:r>
      <w:r w:rsidR="00E3647B">
        <w:rPr>
          <w:sz w:val="28"/>
          <w:szCs w:val="28"/>
        </w:rPr>
        <w:t>đi làm việc ở nước ngoài theo hợp đồng quy định tại Điều 2 Quyết định này;</w:t>
      </w:r>
    </w:p>
    <w:p w:rsidR="007A4432" w:rsidRDefault="00E3647B">
      <w:pPr>
        <w:pStyle w:val="ListParagraph"/>
        <w:numPr>
          <w:ilvl w:val="0"/>
          <w:numId w:val="2"/>
        </w:numPr>
        <w:tabs>
          <w:tab w:val="left" w:pos="993"/>
          <w:tab w:val="left" w:pos="1134"/>
        </w:tabs>
        <w:spacing w:before="120" w:line="288" w:lineRule="auto"/>
        <w:ind w:left="0" w:firstLine="567"/>
        <w:contextualSpacing w:val="0"/>
        <w:jc w:val="both"/>
        <w:rPr>
          <w:sz w:val="28"/>
          <w:szCs w:val="28"/>
        </w:rPr>
      </w:pPr>
      <w:r>
        <w:rPr>
          <w:sz w:val="28"/>
          <w:szCs w:val="28"/>
        </w:rPr>
        <w:t xml:space="preserve">Ngân hàng </w:t>
      </w:r>
      <w:r w:rsidR="00A47B63">
        <w:rPr>
          <w:sz w:val="28"/>
          <w:szCs w:val="28"/>
        </w:rPr>
        <w:t>C</w:t>
      </w:r>
      <w:r>
        <w:rPr>
          <w:sz w:val="28"/>
          <w:szCs w:val="28"/>
        </w:rPr>
        <w:t>hính sách xã hội;</w:t>
      </w:r>
    </w:p>
    <w:p w:rsidR="007A4432" w:rsidRDefault="00F73495">
      <w:pPr>
        <w:pStyle w:val="ListParagraph"/>
        <w:numPr>
          <w:ilvl w:val="0"/>
          <w:numId w:val="2"/>
        </w:numPr>
        <w:tabs>
          <w:tab w:val="left" w:pos="993"/>
          <w:tab w:val="left" w:pos="1134"/>
        </w:tabs>
        <w:spacing w:before="120" w:line="288" w:lineRule="auto"/>
        <w:ind w:left="0" w:firstLine="567"/>
        <w:contextualSpacing w:val="0"/>
        <w:jc w:val="both"/>
        <w:rPr>
          <w:sz w:val="28"/>
          <w:szCs w:val="28"/>
        </w:rPr>
      </w:pPr>
      <w:r>
        <w:rPr>
          <w:sz w:val="28"/>
          <w:szCs w:val="28"/>
        </w:rPr>
        <w:t>Cơ quan, t</w:t>
      </w:r>
      <w:r w:rsidR="00E3647B">
        <w:rPr>
          <w:sz w:val="28"/>
          <w:szCs w:val="28"/>
        </w:rPr>
        <w:t>ổ chức, cá nhân</w:t>
      </w:r>
      <w:r>
        <w:rPr>
          <w:sz w:val="28"/>
          <w:szCs w:val="28"/>
        </w:rPr>
        <w:t xml:space="preserve"> có</w:t>
      </w:r>
      <w:r w:rsidR="00E3647B">
        <w:rPr>
          <w:sz w:val="28"/>
          <w:szCs w:val="28"/>
        </w:rPr>
        <w:t xml:space="preserve"> liên quan</w:t>
      </w:r>
      <w:r w:rsidR="001E2E04" w:rsidRPr="001E2E04">
        <w:rPr>
          <w:sz w:val="28"/>
          <w:szCs w:val="28"/>
        </w:rPr>
        <w:t xml:space="preserve"> đến các nội dung quy định tại </w:t>
      </w:r>
      <w:r w:rsidR="00670B2F">
        <w:rPr>
          <w:sz w:val="28"/>
          <w:szCs w:val="28"/>
        </w:rPr>
        <w:t xml:space="preserve">Khoản 1 </w:t>
      </w:r>
      <w:r w:rsidR="001E2E04" w:rsidRPr="001E2E04">
        <w:rPr>
          <w:sz w:val="28"/>
          <w:szCs w:val="28"/>
        </w:rPr>
        <w:t>Điều 1 Quyết định này.</w:t>
      </w:r>
    </w:p>
    <w:p w:rsidR="008D455C" w:rsidRDefault="00B107F3">
      <w:pPr>
        <w:tabs>
          <w:tab w:val="left" w:pos="567"/>
        </w:tabs>
        <w:spacing w:before="120" w:line="288" w:lineRule="auto"/>
        <w:ind w:firstLine="567"/>
        <w:jc w:val="both"/>
        <w:rPr>
          <w:b/>
          <w:sz w:val="28"/>
          <w:szCs w:val="28"/>
        </w:rPr>
      </w:pPr>
      <w:proofErr w:type="gramStart"/>
      <w:r w:rsidRPr="00E3647B">
        <w:rPr>
          <w:b/>
          <w:sz w:val="28"/>
          <w:szCs w:val="28"/>
        </w:rPr>
        <w:t>Điều 2.</w:t>
      </w:r>
      <w:proofErr w:type="gramEnd"/>
      <w:r w:rsidRPr="00E3647B">
        <w:rPr>
          <w:b/>
          <w:sz w:val="28"/>
          <w:szCs w:val="28"/>
        </w:rPr>
        <w:t xml:space="preserve"> </w:t>
      </w:r>
      <w:r w:rsidR="00E3647B">
        <w:rPr>
          <w:b/>
          <w:sz w:val="28"/>
          <w:szCs w:val="28"/>
        </w:rPr>
        <w:t xml:space="preserve">Đối tượng </w:t>
      </w:r>
      <w:r w:rsidR="00870495">
        <w:rPr>
          <w:b/>
          <w:sz w:val="28"/>
          <w:szCs w:val="28"/>
        </w:rPr>
        <w:t>và điều kiện cho vay</w:t>
      </w:r>
    </w:p>
    <w:p w:rsidR="008D455C" w:rsidRDefault="00E55490">
      <w:pPr>
        <w:spacing w:before="120" w:line="288" w:lineRule="auto"/>
        <w:ind w:firstLine="567"/>
        <w:jc w:val="both"/>
        <w:rPr>
          <w:sz w:val="28"/>
          <w:szCs w:val="28"/>
        </w:rPr>
      </w:pPr>
      <w:r w:rsidRPr="00B77C9D">
        <w:rPr>
          <w:sz w:val="28"/>
          <w:szCs w:val="28"/>
        </w:rPr>
        <w:lastRenderedPageBreak/>
        <w:t xml:space="preserve">Người lao động </w:t>
      </w:r>
      <w:r w:rsidR="006E244C">
        <w:rPr>
          <w:sz w:val="28"/>
          <w:szCs w:val="28"/>
        </w:rPr>
        <w:t>cư trú hợp pháp tại huyện nghèo</w:t>
      </w:r>
      <w:r w:rsidR="00670B2F">
        <w:rPr>
          <w:sz w:val="28"/>
          <w:szCs w:val="28"/>
        </w:rPr>
        <w:t>, huyện thoát nghèo</w:t>
      </w:r>
      <w:r w:rsidR="006E244C">
        <w:rPr>
          <w:sz w:val="28"/>
          <w:szCs w:val="28"/>
        </w:rPr>
        <w:t xml:space="preserve"> và xã</w:t>
      </w:r>
      <w:r w:rsidR="00870495">
        <w:rPr>
          <w:sz w:val="28"/>
          <w:szCs w:val="28"/>
        </w:rPr>
        <w:t xml:space="preserve"> đặc biệt</w:t>
      </w:r>
      <w:r w:rsidR="006E244C">
        <w:rPr>
          <w:sz w:val="28"/>
          <w:szCs w:val="28"/>
        </w:rPr>
        <w:t xml:space="preserve"> khó khăn vùng bãi ngang ven biển và hải đảo quy định tại </w:t>
      </w:r>
      <w:r w:rsidR="003B6CEB">
        <w:rPr>
          <w:sz w:val="28"/>
          <w:szCs w:val="28"/>
        </w:rPr>
        <w:t xml:space="preserve">Khoản 1 </w:t>
      </w:r>
      <w:r w:rsidR="006E244C">
        <w:rPr>
          <w:sz w:val="28"/>
          <w:szCs w:val="28"/>
        </w:rPr>
        <w:t xml:space="preserve">Điều </w:t>
      </w:r>
      <w:r w:rsidR="00870495">
        <w:rPr>
          <w:sz w:val="28"/>
          <w:szCs w:val="28"/>
        </w:rPr>
        <w:t>1</w:t>
      </w:r>
      <w:r w:rsidR="006E244C">
        <w:rPr>
          <w:sz w:val="28"/>
          <w:szCs w:val="28"/>
        </w:rPr>
        <w:t xml:space="preserve"> của Quyết định này </w:t>
      </w:r>
      <w:r w:rsidR="00870495">
        <w:rPr>
          <w:sz w:val="28"/>
          <w:szCs w:val="28"/>
        </w:rPr>
        <w:t xml:space="preserve">được Ủy ban nhân dân cấp xã xác nhận; </w:t>
      </w:r>
      <w:r w:rsidR="003B6CEB">
        <w:rPr>
          <w:sz w:val="28"/>
          <w:szCs w:val="28"/>
        </w:rPr>
        <w:t>c</w:t>
      </w:r>
      <w:r w:rsidR="006E244C">
        <w:rPr>
          <w:sz w:val="28"/>
          <w:szCs w:val="28"/>
        </w:rPr>
        <w:t>ó hợp đồng đưa người lao động đi làm việc ở nước ngoài ký với doanh nghiệp, tổ chức sự nghiệp</w:t>
      </w:r>
      <w:r w:rsidR="002E2A2C">
        <w:rPr>
          <w:sz w:val="28"/>
          <w:szCs w:val="28"/>
        </w:rPr>
        <w:t xml:space="preserve"> hoặc hợp đồn</w:t>
      </w:r>
      <w:r w:rsidR="0072309E">
        <w:rPr>
          <w:sz w:val="28"/>
          <w:szCs w:val="28"/>
        </w:rPr>
        <w:t xml:space="preserve">g </w:t>
      </w:r>
      <w:r w:rsidR="00870495">
        <w:rPr>
          <w:sz w:val="28"/>
          <w:szCs w:val="28"/>
        </w:rPr>
        <w:t xml:space="preserve">cá nhân </w:t>
      </w:r>
      <w:r w:rsidR="0072309E">
        <w:rPr>
          <w:sz w:val="28"/>
          <w:szCs w:val="28"/>
        </w:rPr>
        <w:t xml:space="preserve">ký </w:t>
      </w:r>
      <w:r w:rsidR="005F3E82">
        <w:rPr>
          <w:sz w:val="28"/>
          <w:szCs w:val="28"/>
        </w:rPr>
        <w:t xml:space="preserve">trực tiếp </w:t>
      </w:r>
      <w:r w:rsidR="0072309E">
        <w:rPr>
          <w:sz w:val="28"/>
          <w:szCs w:val="28"/>
        </w:rPr>
        <w:t xml:space="preserve">với chủ sử dụng </w:t>
      </w:r>
      <w:r w:rsidR="00870495">
        <w:rPr>
          <w:sz w:val="28"/>
          <w:szCs w:val="28"/>
        </w:rPr>
        <w:t>người nước ngoài</w:t>
      </w:r>
      <w:r w:rsidR="000E44C8">
        <w:rPr>
          <w:sz w:val="28"/>
          <w:szCs w:val="28"/>
        </w:rPr>
        <w:t xml:space="preserve"> </w:t>
      </w:r>
      <w:r w:rsidR="006E244C">
        <w:rPr>
          <w:sz w:val="28"/>
          <w:szCs w:val="28"/>
        </w:rPr>
        <w:t>theo quy định pháp luật hiện hành.</w:t>
      </w:r>
    </w:p>
    <w:p w:rsidR="008D455C" w:rsidRDefault="00E3647B">
      <w:pPr>
        <w:spacing w:before="120" w:line="288" w:lineRule="auto"/>
        <w:ind w:firstLine="567"/>
        <w:jc w:val="both"/>
        <w:rPr>
          <w:b/>
          <w:sz w:val="28"/>
          <w:szCs w:val="28"/>
        </w:rPr>
      </w:pPr>
      <w:proofErr w:type="gramStart"/>
      <w:r>
        <w:rPr>
          <w:b/>
          <w:sz w:val="28"/>
          <w:szCs w:val="28"/>
        </w:rPr>
        <w:t xml:space="preserve">Điều </w:t>
      </w:r>
      <w:r w:rsidR="00BF669B">
        <w:rPr>
          <w:b/>
          <w:sz w:val="28"/>
          <w:szCs w:val="28"/>
        </w:rPr>
        <w:t>3</w:t>
      </w:r>
      <w:r>
        <w:rPr>
          <w:b/>
          <w:sz w:val="28"/>
          <w:szCs w:val="28"/>
        </w:rPr>
        <w:t>.</w:t>
      </w:r>
      <w:proofErr w:type="gramEnd"/>
      <w:r>
        <w:rPr>
          <w:b/>
          <w:sz w:val="28"/>
          <w:szCs w:val="28"/>
        </w:rPr>
        <w:t xml:space="preserve"> Mức vốn cho vay</w:t>
      </w:r>
    </w:p>
    <w:p w:rsidR="008D455C" w:rsidRDefault="001E2E04">
      <w:pPr>
        <w:spacing w:before="120" w:line="288" w:lineRule="auto"/>
        <w:ind w:firstLine="562"/>
        <w:jc w:val="both"/>
        <w:rPr>
          <w:sz w:val="28"/>
          <w:szCs w:val="28"/>
        </w:rPr>
      </w:pPr>
      <w:r w:rsidRPr="001E2E04">
        <w:rPr>
          <w:sz w:val="28"/>
          <w:szCs w:val="28"/>
        </w:rPr>
        <w:t>Mức vay tối đa 100% chi phí đi làm việc ở nước ngoài theo hợp đồng ký kết giữa người lao động và doanh nghiệp</w:t>
      </w:r>
      <w:r w:rsidR="006C3740">
        <w:rPr>
          <w:sz w:val="28"/>
          <w:szCs w:val="28"/>
        </w:rPr>
        <w:t>,</w:t>
      </w:r>
      <w:r w:rsidRPr="001E2E04">
        <w:rPr>
          <w:sz w:val="28"/>
          <w:szCs w:val="28"/>
        </w:rPr>
        <w:t xml:space="preserve"> tổ chức sự nghiệp đưa người lao động đi làm việc ở nước ngoài theo hợp đồng</w:t>
      </w:r>
      <w:r w:rsidR="006C3740">
        <w:rPr>
          <w:sz w:val="28"/>
          <w:szCs w:val="28"/>
        </w:rPr>
        <w:t xml:space="preserve"> hoặc hợp đồng cá nhân ký trực tiếp với chủ sử dụng người nước ngoài và theo</w:t>
      </w:r>
      <w:r w:rsidRPr="001E2E04">
        <w:rPr>
          <w:sz w:val="28"/>
          <w:szCs w:val="28"/>
        </w:rPr>
        <w:t xml:space="preserve"> các</w:t>
      </w:r>
      <w:r w:rsidR="006C3740">
        <w:rPr>
          <w:sz w:val="28"/>
          <w:szCs w:val="28"/>
        </w:rPr>
        <w:t xml:space="preserve"> mức trần</w:t>
      </w:r>
      <w:r w:rsidRPr="001E2E04">
        <w:rPr>
          <w:sz w:val="28"/>
          <w:szCs w:val="28"/>
        </w:rPr>
        <w:t xml:space="preserve"> </w:t>
      </w:r>
      <w:r w:rsidR="006C3740">
        <w:rPr>
          <w:sz w:val="28"/>
          <w:szCs w:val="28"/>
        </w:rPr>
        <w:t xml:space="preserve">chi phí quy định </w:t>
      </w:r>
      <w:r w:rsidRPr="001E2E04">
        <w:rPr>
          <w:sz w:val="28"/>
          <w:szCs w:val="28"/>
        </w:rPr>
        <w:t>theo</w:t>
      </w:r>
      <w:r w:rsidR="006C3740">
        <w:rPr>
          <w:sz w:val="28"/>
          <w:szCs w:val="28"/>
        </w:rPr>
        <w:t xml:space="preserve"> từng thị trường</w:t>
      </w:r>
      <w:r w:rsidRPr="001E2E04">
        <w:rPr>
          <w:sz w:val="28"/>
          <w:szCs w:val="28"/>
        </w:rPr>
        <w:t>.</w:t>
      </w:r>
    </w:p>
    <w:p w:rsidR="008D455C" w:rsidRDefault="00E3647B">
      <w:pPr>
        <w:spacing w:before="120" w:line="288" w:lineRule="auto"/>
        <w:ind w:firstLine="567"/>
        <w:jc w:val="both"/>
        <w:rPr>
          <w:b/>
          <w:sz w:val="28"/>
          <w:szCs w:val="28"/>
        </w:rPr>
      </w:pPr>
      <w:proofErr w:type="gramStart"/>
      <w:r>
        <w:rPr>
          <w:b/>
          <w:sz w:val="28"/>
          <w:szCs w:val="28"/>
        </w:rPr>
        <w:t xml:space="preserve">Điều </w:t>
      </w:r>
      <w:r w:rsidR="00BF669B">
        <w:rPr>
          <w:b/>
          <w:sz w:val="28"/>
          <w:szCs w:val="28"/>
        </w:rPr>
        <w:t>4</w:t>
      </w:r>
      <w:r>
        <w:rPr>
          <w:b/>
          <w:sz w:val="28"/>
          <w:szCs w:val="28"/>
        </w:rPr>
        <w:t>.</w:t>
      </w:r>
      <w:proofErr w:type="gramEnd"/>
      <w:r>
        <w:rPr>
          <w:b/>
          <w:sz w:val="28"/>
          <w:szCs w:val="28"/>
        </w:rPr>
        <w:t xml:space="preserve"> Lãi suất cho vay</w:t>
      </w:r>
    </w:p>
    <w:p w:rsidR="008D455C" w:rsidRDefault="00F344D6">
      <w:pPr>
        <w:pStyle w:val="ListParagraph"/>
        <w:numPr>
          <w:ilvl w:val="0"/>
          <w:numId w:val="4"/>
        </w:numPr>
        <w:tabs>
          <w:tab w:val="left" w:pos="993"/>
        </w:tabs>
        <w:spacing w:before="120" w:line="288" w:lineRule="auto"/>
        <w:ind w:left="0" w:firstLine="567"/>
        <w:contextualSpacing w:val="0"/>
        <w:jc w:val="both"/>
        <w:rPr>
          <w:sz w:val="28"/>
          <w:szCs w:val="28"/>
        </w:rPr>
      </w:pPr>
      <w:r w:rsidRPr="00F344D6">
        <w:rPr>
          <w:sz w:val="28"/>
          <w:szCs w:val="28"/>
        </w:rPr>
        <w:t xml:space="preserve">Người lao động thuộc các hộ nghèo, </w:t>
      </w:r>
      <w:r>
        <w:rPr>
          <w:sz w:val="28"/>
          <w:szCs w:val="28"/>
        </w:rPr>
        <w:t xml:space="preserve">hộ cận nghèo, </w:t>
      </w:r>
      <w:r w:rsidRPr="00F344D6">
        <w:rPr>
          <w:sz w:val="28"/>
          <w:szCs w:val="28"/>
        </w:rPr>
        <w:t>người dân tộc thiểu số được vay</w:t>
      </w:r>
      <w:r w:rsidR="000B3A20">
        <w:rPr>
          <w:sz w:val="28"/>
          <w:szCs w:val="28"/>
        </w:rPr>
        <w:t xml:space="preserve"> </w:t>
      </w:r>
      <w:r w:rsidR="006F3672">
        <w:rPr>
          <w:sz w:val="28"/>
          <w:szCs w:val="28"/>
        </w:rPr>
        <w:t>vốn</w:t>
      </w:r>
      <w:r w:rsidRPr="00F344D6">
        <w:rPr>
          <w:sz w:val="28"/>
          <w:szCs w:val="28"/>
        </w:rPr>
        <w:t xml:space="preserve"> với lãi suất bằng 50% lãi suất cho vay </w:t>
      </w:r>
      <w:r w:rsidR="00870495">
        <w:rPr>
          <w:sz w:val="28"/>
          <w:szCs w:val="28"/>
        </w:rPr>
        <w:t xml:space="preserve">đối với hộ nghèo theo từng thời kỳ do </w:t>
      </w:r>
      <w:r w:rsidR="00670B2F">
        <w:rPr>
          <w:sz w:val="28"/>
          <w:szCs w:val="28"/>
        </w:rPr>
        <w:t xml:space="preserve">Thủ tướng </w:t>
      </w:r>
      <w:r w:rsidR="00870495">
        <w:rPr>
          <w:sz w:val="28"/>
          <w:szCs w:val="28"/>
        </w:rPr>
        <w:t>Chính phủ quy định.</w:t>
      </w:r>
    </w:p>
    <w:p w:rsidR="008D455C" w:rsidRDefault="00F344D6">
      <w:pPr>
        <w:pStyle w:val="ListParagraph"/>
        <w:numPr>
          <w:ilvl w:val="0"/>
          <w:numId w:val="4"/>
        </w:numPr>
        <w:tabs>
          <w:tab w:val="left" w:pos="993"/>
        </w:tabs>
        <w:spacing w:before="120" w:line="288" w:lineRule="auto"/>
        <w:ind w:left="0" w:firstLine="567"/>
        <w:contextualSpacing w:val="0"/>
        <w:jc w:val="both"/>
        <w:rPr>
          <w:sz w:val="28"/>
          <w:szCs w:val="28"/>
        </w:rPr>
      </w:pPr>
      <w:r w:rsidRPr="00F344D6">
        <w:rPr>
          <w:sz w:val="28"/>
          <w:szCs w:val="28"/>
        </w:rPr>
        <w:t>Các đối tượng còn lại được vay</w:t>
      </w:r>
      <w:r w:rsidR="006F3672">
        <w:rPr>
          <w:sz w:val="28"/>
          <w:szCs w:val="28"/>
        </w:rPr>
        <w:t xml:space="preserve"> vốn</w:t>
      </w:r>
      <w:r w:rsidRPr="00F344D6">
        <w:rPr>
          <w:sz w:val="28"/>
          <w:szCs w:val="28"/>
        </w:rPr>
        <w:t xml:space="preserve"> với lãi suất cho vay</w:t>
      </w:r>
      <w:r w:rsidR="00BF669B">
        <w:rPr>
          <w:sz w:val="28"/>
          <w:szCs w:val="28"/>
        </w:rPr>
        <w:t xml:space="preserve"> bằng</w:t>
      </w:r>
      <w:r w:rsidRPr="00F344D6">
        <w:rPr>
          <w:sz w:val="28"/>
          <w:szCs w:val="28"/>
        </w:rPr>
        <w:t xml:space="preserve"> </w:t>
      </w:r>
      <w:r w:rsidR="00870495" w:rsidRPr="00F344D6">
        <w:rPr>
          <w:sz w:val="28"/>
          <w:szCs w:val="28"/>
        </w:rPr>
        <w:t xml:space="preserve">lãi suất cho vay </w:t>
      </w:r>
      <w:r w:rsidR="00870495">
        <w:rPr>
          <w:sz w:val="28"/>
          <w:szCs w:val="28"/>
        </w:rPr>
        <w:t xml:space="preserve">đối với hộ nghèo </w:t>
      </w:r>
      <w:proofErr w:type="gramStart"/>
      <w:r w:rsidR="00870495">
        <w:rPr>
          <w:sz w:val="28"/>
          <w:szCs w:val="28"/>
        </w:rPr>
        <w:t>theo</w:t>
      </w:r>
      <w:proofErr w:type="gramEnd"/>
      <w:r w:rsidR="00870495">
        <w:rPr>
          <w:sz w:val="28"/>
          <w:szCs w:val="28"/>
        </w:rPr>
        <w:t xml:space="preserve"> từng thời kỳ do </w:t>
      </w:r>
      <w:r w:rsidR="00670B2F">
        <w:rPr>
          <w:sz w:val="28"/>
          <w:szCs w:val="28"/>
        </w:rPr>
        <w:t xml:space="preserve">Thủ tướng </w:t>
      </w:r>
      <w:r w:rsidR="00870495">
        <w:rPr>
          <w:sz w:val="28"/>
          <w:szCs w:val="28"/>
        </w:rPr>
        <w:t>Chính phủ quy định</w:t>
      </w:r>
      <w:r w:rsidRPr="00F344D6">
        <w:rPr>
          <w:sz w:val="28"/>
          <w:szCs w:val="28"/>
        </w:rPr>
        <w:t>.</w:t>
      </w:r>
    </w:p>
    <w:p w:rsidR="008D455C" w:rsidRDefault="002E2A2C">
      <w:pPr>
        <w:pStyle w:val="ListParagraph"/>
        <w:numPr>
          <w:ilvl w:val="0"/>
          <w:numId w:val="4"/>
        </w:numPr>
        <w:tabs>
          <w:tab w:val="left" w:pos="993"/>
        </w:tabs>
        <w:spacing w:before="120" w:line="288" w:lineRule="auto"/>
        <w:ind w:left="0" w:firstLine="567"/>
        <w:contextualSpacing w:val="0"/>
        <w:jc w:val="both"/>
        <w:rPr>
          <w:sz w:val="28"/>
          <w:szCs w:val="28"/>
        </w:rPr>
      </w:pPr>
      <w:r>
        <w:rPr>
          <w:sz w:val="28"/>
          <w:szCs w:val="28"/>
        </w:rPr>
        <w:t>L</w:t>
      </w:r>
      <w:r w:rsidR="00BF669B">
        <w:rPr>
          <w:sz w:val="28"/>
          <w:szCs w:val="28"/>
        </w:rPr>
        <w:t>ã</w:t>
      </w:r>
      <w:r>
        <w:rPr>
          <w:sz w:val="28"/>
          <w:szCs w:val="28"/>
        </w:rPr>
        <w:t xml:space="preserve">i suất </w:t>
      </w:r>
      <w:r w:rsidR="0072309E">
        <w:rPr>
          <w:sz w:val="28"/>
          <w:szCs w:val="28"/>
        </w:rPr>
        <w:t>nợ</w:t>
      </w:r>
      <w:r>
        <w:rPr>
          <w:sz w:val="28"/>
          <w:szCs w:val="28"/>
        </w:rPr>
        <w:t xml:space="preserve"> quá hạn</w:t>
      </w:r>
      <w:r w:rsidR="0072309E">
        <w:rPr>
          <w:sz w:val="28"/>
          <w:szCs w:val="28"/>
        </w:rPr>
        <w:t xml:space="preserve"> bằng 130% lãi suất vay vốn </w:t>
      </w:r>
      <w:proofErr w:type="gramStart"/>
      <w:r w:rsidR="0072309E">
        <w:rPr>
          <w:sz w:val="28"/>
          <w:szCs w:val="28"/>
        </w:rPr>
        <w:t>theo</w:t>
      </w:r>
      <w:proofErr w:type="gramEnd"/>
      <w:r w:rsidR="0072309E">
        <w:rPr>
          <w:sz w:val="28"/>
          <w:szCs w:val="28"/>
        </w:rPr>
        <w:t xml:space="preserve"> quy định tại </w:t>
      </w:r>
      <w:r w:rsidR="00BF669B">
        <w:rPr>
          <w:sz w:val="28"/>
          <w:szCs w:val="28"/>
        </w:rPr>
        <w:t>Khoản 1 và K</w:t>
      </w:r>
      <w:r w:rsidR="0072309E">
        <w:rPr>
          <w:sz w:val="28"/>
          <w:szCs w:val="28"/>
        </w:rPr>
        <w:t xml:space="preserve">hoản 2 </w:t>
      </w:r>
      <w:r w:rsidR="00BF669B">
        <w:rPr>
          <w:sz w:val="28"/>
          <w:szCs w:val="28"/>
        </w:rPr>
        <w:t>Đ</w:t>
      </w:r>
      <w:r w:rsidR="0072309E">
        <w:rPr>
          <w:sz w:val="28"/>
          <w:szCs w:val="28"/>
        </w:rPr>
        <w:t>iều này.</w:t>
      </w:r>
    </w:p>
    <w:p w:rsidR="008D455C" w:rsidRDefault="002E2A2C">
      <w:pPr>
        <w:spacing w:before="120" w:line="288" w:lineRule="auto"/>
        <w:ind w:firstLine="567"/>
        <w:jc w:val="both"/>
        <w:rPr>
          <w:b/>
          <w:sz w:val="28"/>
          <w:szCs w:val="28"/>
        </w:rPr>
      </w:pPr>
      <w:proofErr w:type="gramStart"/>
      <w:r>
        <w:rPr>
          <w:b/>
          <w:sz w:val="28"/>
          <w:szCs w:val="28"/>
        </w:rPr>
        <w:t xml:space="preserve">Điều </w:t>
      </w:r>
      <w:r w:rsidR="00BF669B">
        <w:rPr>
          <w:b/>
          <w:sz w:val="28"/>
          <w:szCs w:val="28"/>
        </w:rPr>
        <w:t>5</w:t>
      </w:r>
      <w:r>
        <w:rPr>
          <w:b/>
          <w:sz w:val="28"/>
          <w:szCs w:val="28"/>
        </w:rPr>
        <w:t>.</w:t>
      </w:r>
      <w:proofErr w:type="gramEnd"/>
      <w:r>
        <w:rPr>
          <w:b/>
          <w:sz w:val="28"/>
          <w:szCs w:val="28"/>
        </w:rPr>
        <w:t xml:space="preserve"> Thời hạn</w:t>
      </w:r>
      <w:r w:rsidR="001E2E04" w:rsidRPr="001E2E04">
        <w:rPr>
          <w:b/>
          <w:sz w:val="28"/>
          <w:szCs w:val="28"/>
        </w:rPr>
        <w:t xml:space="preserve">, hồ sơ, phương thức vay vốn; thẩm định, phê duyệt, </w:t>
      </w:r>
      <w:proofErr w:type="gramStart"/>
      <w:r w:rsidR="001E2E04" w:rsidRPr="001E2E04">
        <w:rPr>
          <w:b/>
          <w:sz w:val="28"/>
          <w:szCs w:val="28"/>
        </w:rPr>
        <w:t>thu</w:t>
      </w:r>
      <w:proofErr w:type="gramEnd"/>
      <w:r w:rsidR="001E2E04" w:rsidRPr="001E2E04">
        <w:rPr>
          <w:b/>
          <w:sz w:val="28"/>
          <w:szCs w:val="28"/>
        </w:rPr>
        <w:t xml:space="preserve"> hồi vốn vay và xử lý nợ</w:t>
      </w:r>
      <w:r w:rsidR="003B6CEB">
        <w:rPr>
          <w:b/>
          <w:sz w:val="28"/>
          <w:szCs w:val="28"/>
        </w:rPr>
        <w:t xml:space="preserve"> </w:t>
      </w:r>
    </w:p>
    <w:p w:rsidR="008D455C" w:rsidRDefault="001E2E04">
      <w:pPr>
        <w:tabs>
          <w:tab w:val="left" w:pos="567"/>
        </w:tabs>
        <w:spacing w:before="120" w:line="288" w:lineRule="auto"/>
        <w:ind w:firstLine="567"/>
        <w:jc w:val="both"/>
        <w:rPr>
          <w:sz w:val="28"/>
          <w:szCs w:val="28"/>
        </w:rPr>
      </w:pPr>
      <w:r>
        <w:rPr>
          <w:sz w:val="28"/>
          <w:szCs w:val="28"/>
        </w:rPr>
        <w:t xml:space="preserve">1. Thời hạn vay vốn, hồ sơ vay vốn, thẩm định, phê duyệt vốn vay, thu hồi vốn vay đối với người lao động đi làm việc ở nước ngoài theo hợp đồng </w:t>
      </w:r>
      <w:r w:rsidRPr="001E2E04">
        <w:rPr>
          <w:sz w:val="28"/>
          <w:szCs w:val="28"/>
        </w:rPr>
        <w:t>thực hiện theo Điều 38, Điều 40, Điều 41 và Điều 42 Nghị định số 61/2015/NĐ-CP ngày 09/7/2015 của Chính phủ quy định về chính sách hỗ trợ tạo việc làm và Quỹ Quốc gia về việc làm và các văn bản hướng dẫn</w:t>
      </w:r>
      <w:r>
        <w:rPr>
          <w:sz w:val="28"/>
          <w:szCs w:val="28"/>
        </w:rPr>
        <w:t>.</w:t>
      </w:r>
    </w:p>
    <w:p w:rsidR="008D455C" w:rsidRPr="006F5E18" w:rsidRDefault="007A4432">
      <w:pPr>
        <w:tabs>
          <w:tab w:val="left" w:pos="567"/>
        </w:tabs>
        <w:spacing w:before="120" w:line="288" w:lineRule="auto"/>
        <w:ind w:firstLine="567"/>
        <w:jc w:val="both"/>
        <w:rPr>
          <w:spacing w:val="-2"/>
          <w:sz w:val="28"/>
          <w:szCs w:val="28"/>
        </w:rPr>
      </w:pPr>
      <w:r w:rsidRPr="007A4432">
        <w:rPr>
          <w:spacing w:val="-2"/>
          <w:sz w:val="28"/>
          <w:szCs w:val="28"/>
        </w:rPr>
        <w:t xml:space="preserve">Đối với hồ sơ vay vốn của người lao động đi làm việc ở nước ngoài theo hợp đồng cá nhân, người lao động cung cấp </w:t>
      </w:r>
      <w:r w:rsidRPr="007A4432">
        <w:rPr>
          <w:spacing w:val="-2"/>
          <w:sz w:val="28"/>
          <w:szCs w:val="28"/>
          <w:lang w:val="sv-SE"/>
        </w:rPr>
        <w:t>bản sao hợp đồng cá nhân ký giữa người lao động và chủ sử dụng lao động (</w:t>
      </w:r>
      <w:r w:rsidRPr="007A4432">
        <w:rPr>
          <w:spacing w:val="-2"/>
          <w:sz w:val="28"/>
          <w:szCs w:val="28"/>
          <w:lang w:val="nl-NL"/>
        </w:rPr>
        <w:t>nếu hợp đồng bằng tiếng nước ngoài thì phải dịch sang tiếng Việt và có chứng thực</w:t>
      </w:r>
      <w:r w:rsidRPr="007A4432">
        <w:rPr>
          <w:spacing w:val="-2"/>
          <w:sz w:val="28"/>
          <w:szCs w:val="28"/>
          <w:lang w:val="sv-SE"/>
        </w:rPr>
        <w:t xml:space="preserve">) và xác nhận đăng ký hợp đồng cá nhân của cơ quan Lao động - Thương binh và Xã hội </w:t>
      </w:r>
      <w:r w:rsidRPr="007A4432">
        <w:rPr>
          <w:spacing w:val="-2"/>
          <w:sz w:val="28"/>
          <w:szCs w:val="28"/>
        </w:rPr>
        <w:t>thay cho bản sao hợp đồng quy định tại điểm c Khoản 2 Điều 40 Nghị định số 61/2015/NĐ-CP.</w:t>
      </w:r>
    </w:p>
    <w:p w:rsidR="008D455C" w:rsidRDefault="001E2E04">
      <w:pPr>
        <w:tabs>
          <w:tab w:val="left" w:pos="567"/>
        </w:tabs>
        <w:spacing w:before="120" w:line="288" w:lineRule="auto"/>
        <w:ind w:firstLine="567"/>
        <w:jc w:val="both"/>
        <w:rPr>
          <w:sz w:val="28"/>
          <w:szCs w:val="28"/>
        </w:rPr>
      </w:pPr>
      <w:r w:rsidRPr="001E2E04">
        <w:rPr>
          <w:sz w:val="28"/>
          <w:szCs w:val="28"/>
        </w:rPr>
        <w:lastRenderedPageBreak/>
        <w:t xml:space="preserve">2. Phương thức cho vay, xử lý nợ đến hạn, xử lý nợ rủi ro, công tác kiểm tra, giám sát trước, trong và sau khi cho vay thực hiện </w:t>
      </w:r>
      <w:proofErr w:type="gramStart"/>
      <w:r w:rsidRPr="001E2E04">
        <w:rPr>
          <w:sz w:val="28"/>
          <w:szCs w:val="28"/>
        </w:rPr>
        <w:t>theo</w:t>
      </w:r>
      <w:proofErr w:type="gramEnd"/>
      <w:r w:rsidRPr="001E2E04">
        <w:rPr>
          <w:sz w:val="28"/>
          <w:szCs w:val="28"/>
        </w:rPr>
        <w:t xml:space="preserve"> quy định hiện hành của Ngân hàng Chính sách xã hội.</w:t>
      </w:r>
    </w:p>
    <w:p w:rsidR="008D455C" w:rsidRDefault="009E19E4">
      <w:pPr>
        <w:spacing w:before="120" w:line="288" w:lineRule="auto"/>
        <w:ind w:firstLine="567"/>
        <w:jc w:val="both"/>
        <w:rPr>
          <w:b/>
          <w:sz w:val="28"/>
          <w:szCs w:val="28"/>
        </w:rPr>
      </w:pPr>
      <w:proofErr w:type="gramStart"/>
      <w:r>
        <w:rPr>
          <w:b/>
          <w:sz w:val="28"/>
          <w:szCs w:val="28"/>
        </w:rPr>
        <w:t xml:space="preserve">Điều </w:t>
      </w:r>
      <w:r w:rsidR="00BF669B">
        <w:rPr>
          <w:b/>
          <w:sz w:val="28"/>
          <w:szCs w:val="28"/>
        </w:rPr>
        <w:t>6</w:t>
      </w:r>
      <w:r>
        <w:rPr>
          <w:b/>
          <w:sz w:val="28"/>
          <w:szCs w:val="28"/>
        </w:rPr>
        <w:t>.</w:t>
      </w:r>
      <w:proofErr w:type="gramEnd"/>
      <w:r>
        <w:rPr>
          <w:b/>
          <w:sz w:val="28"/>
          <w:szCs w:val="28"/>
        </w:rPr>
        <w:t xml:space="preserve"> </w:t>
      </w:r>
      <w:r w:rsidR="002E2A2C">
        <w:rPr>
          <w:b/>
          <w:sz w:val="28"/>
          <w:szCs w:val="28"/>
        </w:rPr>
        <w:t>Tổ chức thực hiện</w:t>
      </w:r>
    </w:p>
    <w:p w:rsidR="008D455C" w:rsidRDefault="001E2E04">
      <w:pPr>
        <w:pStyle w:val="ListParagraph"/>
        <w:numPr>
          <w:ilvl w:val="0"/>
          <w:numId w:val="6"/>
        </w:numPr>
        <w:tabs>
          <w:tab w:val="left" w:pos="993"/>
        </w:tabs>
        <w:spacing w:before="120" w:line="288" w:lineRule="auto"/>
        <w:ind w:left="0" w:firstLine="567"/>
        <w:contextualSpacing w:val="0"/>
        <w:jc w:val="both"/>
        <w:rPr>
          <w:sz w:val="28"/>
          <w:szCs w:val="28"/>
        </w:rPr>
      </w:pPr>
      <w:r w:rsidRPr="001E2E04">
        <w:rPr>
          <w:spacing w:val="-4"/>
          <w:sz w:val="28"/>
          <w:szCs w:val="28"/>
        </w:rPr>
        <w:t>Bộ Kế hoạch và Đầu tư chủ trì, phối hợp với Bộ Tài chính, cơ quan có liên quan bố trí nguồn vốn nhà nước để cho người lao động đi làm việc ở nước ngoài theo hợp đồng quy định tại Quyết định này vay và kinh phí cấp bù chênh lệch lãi suất, phí quản lý để Ngân hàng Chính sách xã hội thực hiện tốt việc cho vay</w:t>
      </w:r>
      <w:r w:rsidR="00566E12">
        <w:rPr>
          <w:sz w:val="28"/>
          <w:szCs w:val="28"/>
        </w:rPr>
        <w:t>.</w:t>
      </w:r>
    </w:p>
    <w:p w:rsidR="007A4432" w:rsidRDefault="00800E5B" w:rsidP="007A4432">
      <w:pPr>
        <w:pStyle w:val="ListParagraph"/>
        <w:numPr>
          <w:ilvl w:val="0"/>
          <w:numId w:val="6"/>
        </w:numPr>
        <w:tabs>
          <w:tab w:val="left" w:pos="993"/>
        </w:tabs>
        <w:spacing w:before="120" w:line="288" w:lineRule="auto"/>
        <w:ind w:left="0" w:firstLine="630"/>
        <w:contextualSpacing w:val="0"/>
        <w:jc w:val="both"/>
        <w:rPr>
          <w:sz w:val="28"/>
          <w:szCs w:val="28"/>
        </w:rPr>
      </w:pPr>
      <w:r>
        <w:rPr>
          <w:sz w:val="28"/>
          <w:szCs w:val="28"/>
        </w:rPr>
        <w:t>Bộ Lao động - Thương binh và Xã hội</w:t>
      </w:r>
      <w:r w:rsidR="00186111">
        <w:rPr>
          <w:sz w:val="28"/>
          <w:szCs w:val="28"/>
        </w:rPr>
        <w:t xml:space="preserve"> chủ trì, phối hợp với các cơ quan liên quan</w:t>
      </w:r>
      <w:r w:rsidR="006F5E18">
        <w:rPr>
          <w:sz w:val="28"/>
          <w:szCs w:val="28"/>
        </w:rPr>
        <w:t xml:space="preserve"> h</w:t>
      </w:r>
      <w:r w:rsidR="001E2E04" w:rsidRPr="006F5E18">
        <w:rPr>
          <w:sz w:val="28"/>
          <w:szCs w:val="28"/>
        </w:rPr>
        <w:t>ướng dẫn các doanh nghiệp, tổ chức sự nghiệp đưa người lao động thuộc đối tượng quy định tại Điều 2 Quyết định này đi làm việc ở nước ngoài triển khai thực hiệ</w:t>
      </w:r>
      <w:r w:rsidR="00F35F80">
        <w:rPr>
          <w:sz w:val="28"/>
          <w:szCs w:val="28"/>
        </w:rPr>
        <w:t>n; Kiểm tra, giám sát việc thực hiện Quyết định.</w:t>
      </w:r>
    </w:p>
    <w:p w:rsidR="008D455C" w:rsidRDefault="00F35F80">
      <w:pPr>
        <w:pStyle w:val="ListParagraph"/>
        <w:numPr>
          <w:ilvl w:val="0"/>
          <w:numId w:val="6"/>
        </w:numPr>
        <w:tabs>
          <w:tab w:val="left" w:pos="993"/>
        </w:tabs>
        <w:spacing w:before="120" w:line="288" w:lineRule="auto"/>
        <w:ind w:left="0" w:firstLine="567"/>
        <w:contextualSpacing w:val="0"/>
        <w:jc w:val="both"/>
        <w:rPr>
          <w:sz w:val="28"/>
          <w:szCs w:val="28"/>
        </w:rPr>
      </w:pPr>
      <w:r>
        <w:rPr>
          <w:sz w:val="28"/>
          <w:szCs w:val="28"/>
        </w:rPr>
        <w:t xml:space="preserve">Uỷ ban nhân dân các tỉnh có huyện nghèo, xã đặc biệt khó khăn vùng bãi ngang ven </w:t>
      </w:r>
      <w:r w:rsidR="00566E12">
        <w:rPr>
          <w:sz w:val="28"/>
          <w:szCs w:val="28"/>
        </w:rPr>
        <w:t>biển và hải đảo chỉ đạo các cơ quan chức năng và Uỷ ban nhân dân các cấp thực hiện chính sách tín dụng theo đúng quy định của pháp luật và Quyết định này.</w:t>
      </w:r>
    </w:p>
    <w:p w:rsidR="008D455C" w:rsidRDefault="00B74F8B">
      <w:pPr>
        <w:pStyle w:val="ListParagraph"/>
        <w:numPr>
          <w:ilvl w:val="0"/>
          <w:numId w:val="6"/>
        </w:numPr>
        <w:tabs>
          <w:tab w:val="left" w:pos="993"/>
        </w:tabs>
        <w:spacing w:before="120" w:line="288" w:lineRule="auto"/>
        <w:ind w:left="0" w:firstLine="567"/>
        <w:contextualSpacing w:val="0"/>
        <w:jc w:val="both"/>
        <w:rPr>
          <w:sz w:val="28"/>
          <w:szCs w:val="28"/>
        </w:rPr>
      </w:pPr>
      <w:r>
        <w:rPr>
          <w:sz w:val="28"/>
          <w:szCs w:val="28"/>
        </w:rPr>
        <w:t>Ngân hàng Chính sách xã hội chịu trách nhiệm</w:t>
      </w:r>
      <w:r w:rsidR="00BC7FD4">
        <w:rPr>
          <w:sz w:val="28"/>
          <w:szCs w:val="28"/>
        </w:rPr>
        <w:t xml:space="preserve"> xây dựng kế hoạch tăng trưởng tín dụng và</w:t>
      </w:r>
      <w:r>
        <w:rPr>
          <w:sz w:val="28"/>
          <w:szCs w:val="28"/>
        </w:rPr>
        <w:t xml:space="preserve"> hướng dẫn </w:t>
      </w:r>
      <w:r w:rsidR="002E2A2C">
        <w:rPr>
          <w:sz w:val="28"/>
          <w:szCs w:val="28"/>
        </w:rPr>
        <w:t>thực hiện cho vay</w:t>
      </w:r>
      <w:r>
        <w:rPr>
          <w:sz w:val="28"/>
          <w:szCs w:val="28"/>
        </w:rPr>
        <w:t xml:space="preserve"> đối với người </w:t>
      </w:r>
      <w:proofErr w:type="gramStart"/>
      <w:r>
        <w:rPr>
          <w:sz w:val="28"/>
          <w:szCs w:val="28"/>
        </w:rPr>
        <w:t>lao</w:t>
      </w:r>
      <w:proofErr w:type="gramEnd"/>
      <w:r>
        <w:rPr>
          <w:sz w:val="28"/>
          <w:szCs w:val="28"/>
        </w:rPr>
        <w:t xml:space="preserve"> động thuộc đối tượng </w:t>
      </w:r>
      <w:r w:rsidR="00BC7FD4">
        <w:rPr>
          <w:sz w:val="28"/>
          <w:szCs w:val="28"/>
        </w:rPr>
        <w:t xml:space="preserve">quy định tại </w:t>
      </w:r>
      <w:r>
        <w:rPr>
          <w:sz w:val="28"/>
          <w:szCs w:val="28"/>
        </w:rPr>
        <w:t>Quyết định này</w:t>
      </w:r>
      <w:r w:rsidR="00BC7FD4">
        <w:rPr>
          <w:sz w:val="28"/>
          <w:szCs w:val="28"/>
        </w:rPr>
        <w:t>.</w:t>
      </w:r>
    </w:p>
    <w:p w:rsidR="008D455C" w:rsidRPr="006F5E18" w:rsidRDefault="007A4432">
      <w:pPr>
        <w:pStyle w:val="ListParagraph"/>
        <w:numPr>
          <w:ilvl w:val="0"/>
          <w:numId w:val="6"/>
        </w:numPr>
        <w:tabs>
          <w:tab w:val="left" w:pos="993"/>
        </w:tabs>
        <w:spacing w:before="120" w:line="288" w:lineRule="auto"/>
        <w:ind w:left="0" w:firstLine="567"/>
        <w:contextualSpacing w:val="0"/>
        <w:jc w:val="both"/>
        <w:rPr>
          <w:spacing w:val="-2"/>
          <w:sz w:val="28"/>
          <w:szCs w:val="28"/>
        </w:rPr>
      </w:pPr>
      <w:r w:rsidRPr="007A4432">
        <w:rPr>
          <w:spacing w:val="-2"/>
          <w:sz w:val="28"/>
          <w:szCs w:val="28"/>
        </w:rPr>
        <w:t>Tổ chức, cá nhân liên quan đến đưa người lao động thuộc đối tượng tại Quyết định này đi làm việc ở nước ngoài theo hợp đồng có trách nhiệm phối hợp, hỗ trợ thủ tục để người lao động vay vốn, đôn đốc người lao động chuyển tiền về nước (gia đình) để trả nợ hoặc trực tiếp trả nợ Ngân hàng Chính sách xã hội.</w:t>
      </w:r>
    </w:p>
    <w:p w:rsidR="008D455C" w:rsidRDefault="009749B5">
      <w:pPr>
        <w:tabs>
          <w:tab w:val="left" w:pos="567"/>
        </w:tabs>
        <w:spacing w:before="120" w:line="288" w:lineRule="auto"/>
        <w:ind w:firstLine="567"/>
        <w:rPr>
          <w:b/>
          <w:sz w:val="28"/>
          <w:szCs w:val="28"/>
        </w:rPr>
      </w:pPr>
      <w:proofErr w:type="gramStart"/>
      <w:r>
        <w:rPr>
          <w:b/>
          <w:sz w:val="28"/>
          <w:szCs w:val="28"/>
        </w:rPr>
        <w:t>Điều 7.</w:t>
      </w:r>
      <w:proofErr w:type="gramEnd"/>
      <w:r>
        <w:rPr>
          <w:b/>
          <w:sz w:val="28"/>
          <w:szCs w:val="28"/>
        </w:rPr>
        <w:t xml:space="preserve"> Điều khoản thi hành</w:t>
      </w:r>
    </w:p>
    <w:p w:rsidR="008D455C" w:rsidRDefault="009749B5">
      <w:pPr>
        <w:spacing w:before="120" w:line="288" w:lineRule="auto"/>
        <w:ind w:firstLine="567"/>
        <w:jc w:val="both"/>
        <w:rPr>
          <w:spacing w:val="-6"/>
          <w:sz w:val="28"/>
          <w:szCs w:val="28"/>
        </w:rPr>
      </w:pPr>
      <w:r>
        <w:rPr>
          <w:spacing w:val="-6"/>
          <w:sz w:val="28"/>
          <w:szCs w:val="28"/>
        </w:rPr>
        <w:t>1</w:t>
      </w:r>
      <w:r>
        <w:rPr>
          <w:sz w:val="28"/>
          <w:szCs w:val="28"/>
        </w:rPr>
        <w:t xml:space="preserve">. </w:t>
      </w:r>
      <w:r w:rsidRPr="00D47772">
        <w:rPr>
          <w:spacing w:val="-6"/>
          <w:sz w:val="28"/>
          <w:szCs w:val="28"/>
        </w:rPr>
        <w:t xml:space="preserve">Quyết định này có hiệu lực </w:t>
      </w:r>
      <w:r>
        <w:rPr>
          <w:spacing w:val="-6"/>
          <w:sz w:val="28"/>
          <w:szCs w:val="28"/>
        </w:rPr>
        <w:t xml:space="preserve">thi hành </w:t>
      </w:r>
      <w:r w:rsidRPr="00D47772">
        <w:rPr>
          <w:spacing w:val="-6"/>
          <w:sz w:val="28"/>
          <w:szCs w:val="28"/>
        </w:rPr>
        <w:t xml:space="preserve">kể từ ngày    tháng   năm 2018 </w:t>
      </w:r>
      <w:r>
        <w:rPr>
          <w:spacing w:val="-6"/>
          <w:sz w:val="28"/>
          <w:szCs w:val="28"/>
        </w:rPr>
        <w:t xml:space="preserve">và được thực hiện giải ngân </w:t>
      </w:r>
      <w:r w:rsidRPr="00D47772">
        <w:rPr>
          <w:spacing w:val="-6"/>
          <w:sz w:val="28"/>
          <w:szCs w:val="28"/>
        </w:rPr>
        <w:t xml:space="preserve">đến hết ngày 31 tháng 12 năm 2020. </w:t>
      </w:r>
    </w:p>
    <w:p w:rsidR="008D455C" w:rsidRDefault="00C9681B">
      <w:pPr>
        <w:spacing w:before="120" w:line="288" w:lineRule="auto"/>
        <w:ind w:firstLine="567"/>
        <w:jc w:val="both"/>
        <w:rPr>
          <w:sz w:val="28"/>
          <w:szCs w:val="28"/>
        </w:rPr>
      </w:pPr>
      <w:r>
        <w:rPr>
          <w:sz w:val="28"/>
          <w:szCs w:val="28"/>
        </w:rPr>
        <w:t xml:space="preserve">2. </w:t>
      </w:r>
      <w:r w:rsidR="001E2E04" w:rsidRPr="001E2E04">
        <w:rPr>
          <w:sz w:val="28"/>
          <w:szCs w:val="28"/>
        </w:rPr>
        <w:t xml:space="preserve">Người </w:t>
      </w:r>
      <w:proofErr w:type="gramStart"/>
      <w:r w:rsidR="001E2E04" w:rsidRPr="001E2E04">
        <w:rPr>
          <w:sz w:val="28"/>
          <w:szCs w:val="28"/>
        </w:rPr>
        <w:t>lao</w:t>
      </w:r>
      <w:proofErr w:type="gramEnd"/>
      <w:r w:rsidR="001E2E04" w:rsidRPr="001E2E04">
        <w:rPr>
          <w:sz w:val="28"/>
          <w:szCs w:val="28"/>
        </w:rPr>
        <w:t xml:space="preserve"> động đã vay vốn tại Ngân hàng Chính sách xã hội </w:t>
      </w:r>
      <w:r w:rsidR="00F54ECB">
        <w:rPr>
          <w:sz w:val="28"/>
          <w:szCs w:val="28"/>
        </w:rPr>
        <w:t>trước ngày Quyết định này có hiệu lực thi hành</w:t>
      </w:r>
      <w:r w:rsidR="001E2E04" w:rsidRPr="001E2E04">
        <w:rPr>
          <w:sz w:val="28"/>
          <w:szCs w:val="28"/>
        </w:rPr>
        <w:t xml:space="preserve">, đang trong thời hạn vay thì tiếp tục thực hiện theo hợp đồng vay vốn đã ký kết. Trường hợp người </w:t>
      </w:r>
      <w:proofErr w:type="gramStart"/>
      <w:r w:rsidR="001E2E04" w:rsidRPr="001E2E04">
        <w:rPr>
          <w:sz w:val="28"/>
          <w:szCs w:val="28"/>
        </w:rPr>
        <w:t>lao</w:t>
      </w:r>
      <w:proofErr w:type="gramEnd"/>
      <w:r w:rsidR="001E2E04" w:rsidRPr="001E2E04">
        <w:rPr>
          <w:sz w:val="28"/>
          <w:szCs w:val="28"/>
        </w:rPr>
        <w:t xml:space="preserve"> động đã ký kết hợp đồng lao động đi làm việc ở nước ngoài trước ngày Quyết định này có hiệu lực</w:t>
      </w:r>
      <w:r w:rsidR="00F54ECB">
        <w:rPr>
          <w:sz w:val="28"/>
          <w:szCs w:val="28"/>
        </w:rPr>
        <w:t xml:space="preserve"> thi hành</w:t>
      </w:r>
      <w:r w:rsidR="001E2E04" w:rsidRPr="001E2E04">
        <w:rPr>
          <w:sz w:val="28"/>
          <w:szCs w:val="28"/>
        </w:rPr>
        <w:t xml:space="preserve"> nhưng chưa vay vốn</w:t>
      </w:r>
      <w:r w:rsidR="00F54ECB">
        <w:rPr>
          <w:sz w:val="28"/>
          <w:szCs w:val="28"/>
        </w:rPr>
        <w:t>,</w:t>
      </w:r>
      <w:r w:rsidR="001E2E04" w:rsidRPr="001E2E04">
        <w:rPr>
          <w:sz w:val="28"/>
          <w:szCs w:val="28"/>
        </w:rPr>
        <w:t xml:space="preserve"> được thực hiện cho vay theo Quyết định này.</w:t>
      </w:r>
    </w:p>
    <w:p w:rsidR="001E2E04" w:rsidRPr="001E2E04" w:rsidRDefault="003B6CEB" w:rsidP="001E2E04">
      <w:pPr>
        <w:spacing w:before="120" w:line="288" w:lineRule="auto"/>
        <w:ind w:firstLine="567"/>
        <w:jc w:val="both"/>
        <w:rPr>
          <w:sz w:val="28"/>
          <w:szCs w:val="28"/>
        </w:rPr>
      </w:pPr>
      <w:r>
        <w:rPr>
          <w:sz w:val="28"/>
          <w:szCs w:val="28"/>
        </w:rPr>
        <w:t xml:space="preserve">3. </w:t>
      </w:r>
      <w:r w:rsidR="001E2E04" w:rsidRPr="001E2E04">
        <w:rPr>
          <w:sz w:val="28"/>
          <w:szCs w:val="28"/>
        </w:rPr>
        <w:t>Trường hợp các quy định tại văn bản quy phạm pháp luật dẫn chiếu tại Quyết định này được sửa đổi, bổ sung hoặc thay thế thì áp dụng quy định tại văn bản được sửa đổi, bổ sung hoặc thay thế đó</w:t>
      </w:r>
      <w:r w:rsidR="00F54ECB">
        <w:rPr>
          <w:sz w:val="28"/>
          <w:szCs w:val="28"/>
        </w:rPr>
        <w:t>.</w:t>
      </w:r>
    </w:p>
    <w:p w:rsidR="008D455C" w:rsidRDefault="003B6CEB">
      <w:pPr>
        <w:spacing w:before="120" w:line="288" w:lineRule="auto"/>
        <w:ind w:firstLine="567"/>
        <w:jc w:val="both"/>
        <w:rPr>
          <w:bCs/>
          <w:sz w:val="28"/>
          <w:szCs w:val="28"/>
        </w:rPr>
      </w:pPr>
      <w:r>
        <w:rPr>
          <w:sz w:val="28"/>
          <w:szCs w:val="28"/>
        </w:rPr>
        <w:lastRenderedPageBreak/>
        <w:t>4</w:t>
      </w:r>
      <w:r w:rsidR="009749B5">
        <w:rPr>
          <w:sz w:val="28"/>
          <w:szCs w:val="28"/>
        </w:rPr>
        <w:t xml:space="preserve">. </w:t>
      </w:r>
      <w:r w:rsidR="009749B5" w:rsidRPr="00D47772">
        <w:rPr>
          <w:sz w:val="28"/>
          <w:szCs w:val="28"/>
        </w:rPr>
        <w:t xml:space="preserve">Quyết định số 71/2009/QĐ-TTg ngày 29 tháng 4 năm 2009 của Thủ tướng Chính phủ  </w:t>
      </w:r>
      <w:r w:rsidR="009749B5" w:rsidRPr="00D47772">
        <w:rPr>
          <w:bCs/>
          <w:sz w:val="28"/>
          <w:szCs w:val="28"/>
        </w:rPr>
        <w:t xml:space="preserve">Phê duyệt Đề án Hỗ trợ các huyện nghèo đẩy mạnh xuất khẩu lao động góp phần giảm nghèo bền vững giai đoạn 2009-2020 hết hiệu lực </w:t>
      </w:r>
      <w:r w:rsidR="009749B5">
        <w:rPr>
          <w:bCs/>
          <w:sz w:val="28"/>
          <w:szCs w:val="28"/>
        </w:rPr>
        <w:t xml:space="preserve">thi hành </w:t>
      </w:r>
      <w:r w:rsidR="009749B5" w:rsidRPr="00D47772">
        <w:rPr>
          <w:bCs/>
          <w:sz w:val="28"/>
          <w:szCs w:val="28"/>
        </w:rPr>
        <w:t>kể từ ngày Quyết định này có hiệu lực</w:t>
      </w:r>
      <w:r w:rsidR="009749B5">
        <w:rPr>
          <w:bCs/>
          <w:sz w:val="28"/>
          <w:szCs w:val="28"/>
        </w:rPr>
        <w:t xml:space="preserve">. </w:t>
      </w:r>
    </w:p>
    <w:p w:rsidR="008D455C" w:rsidRDefault="003B6CEB">
      <w:pPr>
        <w:spacing w:before="120" w:line="288" w:lineRule="auto"/>
        <w:ind w:firstLine="567"/>
        <w:jc w:val="both"/>
        <w:rPr>
          <w:sz w:val="28"/>
          <w:szCs w:val="28"/>
        </w:rPr>
      </w:pPr>
      <w:r>
        <w:rPr>
          <w:sz w:val="28"/>
          <w:szCs w:val="28"/>
        </w:rPr>
        <w:t>5</w:t>
      </w:r>
      <w:r w:rsidR="009749B5">
        <w:rPr>
          <w:sz w:val="28"/>
          <w:szCs w:val="28"/>
        </w:rPr>
        <w:t xml:space="preserve">. </w:t>
      </w:r>
      <w:r w:rsidR="009749B5" w:rsidRPr="00D47772">
        <w:rPr>
          <w:sz w:val="28"/>
          <w:szCs w:val="28"/>
        </w:rPr>
        <w:t>Các Bộ trưởng, Thủ trưởng cơ quan ngang Bộ, Thủ trưởng cơ quan thuộc Chính phủ, Chủ tịch Uỷ ban nhân dân tỉnh, thành phố trực thuộc Trung ương</w:t>
      </w:r>
      <w:r w:rsidR="009749B5">
        <w:rPr>
          <w:sz w:val="28"/>
          <w:szCs w:val="28"/>
        </w:rPr>
        <w:t xml:space="preserve"> và các cơ quan, doanh nghiệp, tổ chức và cá nhân liên quan</w:t>
      </w:r>
      <w:r w:rsidR="009749B5" w:rsidRPr="00D47772">
        <w:rPr>
          <w:sz w:val="28"/>
          <w:szCs w:val="28"/>
        </w:rPr>
        <w:t xml:space="preserve"> chịu trách nhiệm thi hành Quyết định này./.</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9749B5" w:rsidTr="00D47772">
        <w:tc>
          <w:tcPr>
            <w:tcW w:w="5637" w:type="dxa"/>
          </w:tcPr>
          <w:p w:rsidR="009749B5" w:rsidRPr="009E19E4" w:rsidRDefault="009749B5" w:rsidP="00D47772">
            <w:pPr>
              <w:spacing w:before="240" w:line="288" w:lineRule="auto"/>
              <w:rPr>
                <w:b/>
                <w:i/>
                <w:szCs w:val="24"/>
              </w:rPr>
            </w:pPr>
            <w:r w:rsidRPr="009E19E4">
              <w:rPr>
                <w:b/>
                <w:i/>
                <w:szCs w:val="24"/>
              </w:rPr>
              <w:t>Nơi nhận:</w:t>
            </w:r>
          </w:p>
          <w:p w:rsidR="009749B5" w:rsidRDefault="009749B5" w:rsidP="00D47772">
            <w:pPr>
              <w:rPr>
                <w:sz w:val="24"/>
                <w:szCs w:val="24"/>
              </w:rPr>
            </w:pPr>
            <w:r w:rsidRPr="009E19E4">
              <w:rPr>
                <w:szCs w:val="24"/>
              </w:rPr>
              <w:t>- Ban Bí thư Trung ương Đảng;</w:t>
            </w:r>
          </w:p>
          <w:p w:rsidR="009749B5" w:rsidRDefault="009749B5" w:rsidP="00D47772">
            <w:pPr>
              <w:rPr>
                <w:sz w:val="24"/>
                <w:szCs w:val="24"/>
              </w:rPr>
            </w:pPr>
            <w:r w:rsidRPr="009E19E4">
              <w:rPr>
                <w:szCs w:val="24"/>
              </w:rPr>
              <w:t xml:space="preserve">- Thủ tướng, các Phó </w:t>
            </w:r>
            <w:r>
              <w:rPr>
                <w:szCs w:val="24"/>
              </w:rPr>
              <w:t>T</w:t>
            </w:r>
            <w:r w:rsidRPr="009E19E4">
              <w:rPr>
                <w:szCs w:val="24"/>
              </w:rPr>
              <w:t>hủ tướng Chính phủ;</w:t>
            </w:r>
          </w:p>
          <w:p w:rsidR="009749B5" w:rsidRDefault="009749B5" w:rsidP="00D47772">
            <w:pPr>
              <w:rPr>
                <w:sz w:val="24"/>
                <w:szCs w:val="24"/>
              </w:rPr>
            </w:pPr>
            <w:r w:rsidRPr="009E19E4">
              <w:rPr>
                <w:szCs w:val="24"/>
              </w:rPr>
              <w:t>- Các Bộ, cơ quan ngang Bộ, cơ quan thuộc Chính phủ;</w:t>
            </w:r>
          </w:p>
          <w:p w:rsidR="009749B5" w:rsidRDefault="009749B5" w:rsidP="00D47772">
            <w:pPr>
              <w:rPr>
                <w:sz w:val="24"/>
                <w:szCs w:val="24"/>
              </w:rPr>
            </w:pPr>
            <w:r>
              <w:rPr>
                <w:szCs w:val="24"/>
              </w:rPr>
              <w:t>-</w:t>
            </w:r>
            <w:r w:rsidRPr="009E19E4">
              <w:rPr>
                <w:szCs w:val="24"/>
              </w:rPr>
              <w:t xml:space="preserve"> HĐND, UBND các tỉnh, </w:t>
            </w:r>
            <w:r>
              <w:rPr>
                <w:szCs w:val="24"/>
              </w:rPr>
              <w:t xml:space="preserve">thành phố </w:t>
            </w:r>
            <w:r w:rsidRPr="009E19E4">
              <w:rPr>
                <w:szCs w:val="24"/>
              </w:rPr>
              <w:t xml:space="preserve">trực thuộc </w:t>
            </w:r>
            <w:r>
              <w:rPr>
                <w:szCs w:val="24"/>
              </w:rPr>
              <w:t>Trung ương</w:t>
            </w:r>
            <w:r w:rsidRPr="009E19E4">
              <w:rPr>
                <w:szCs w:val="24"/>
              </w:rPr>
              <w:t>;</w:t>
            </w:r>
          </w:p>
          <w:p w:rsidR="009749B5" w:rsidRDefault="009749B5" w:rsidP="00D47772">
            <w:pPr>
              <w:rPr>
                <w:sz w:val="24"/>
                <w:szCs w:val="24"/>
              </w:rPr>
            </w:pPr>
            <w:r w:rsidRPr="009E19E4">
              <w:rPr>
                <w:szCs w:val="24"/>
              </w:rPr>
              <w:t xml:space="preserve">- Văn phòng </w:t>
            </w:r>
            <w:r>
              <w:rPr>
                <w:szCs w:val="24"/>
              </w:rPr>
              <w:t>Trung ương</w:t>
            </w:r>
            <w:r w:rsidRPr="009E19E4">
              <w:rPr>
                <w:szCs w:val="24"/>
              </w:rPr>
              <w:t xml:space="preserve"> và các Ban của Đảng;</w:t>
            </w:r>
          </w:p>
          <w:p w:rsidR="009749B5" w:rsidRDefault="009749B5" w:rsidP="00D47772">
            <w:pPr>
              <w:rPr>
                <w:sz w:val="24"/>
                <w:szCs w:val="24"/>
              </w:rPr>
            </w:pPr>
            <w:r w:rsidRPr="009E19E4">
              <w:rPr>
                <w:szCs w:val="24"/>
              </w:rPr>
              <w:t xml:space="preserve">- Văn phòng </w:t>
            </w:r>
            <w:r>
              <w:rPr>
                <w:szCs w:val="24"/>
              </w:rPr>
              <w:t>Tổng Bí thư;</w:t>
            </w:r>
          </w:p>
          <w:p w:rsidR="009749B5" w:rsidRDefault="009749B5" w:rsidP="00D47772">
            <w:pPr>
              <w:rPr>
                <w:sz w:val="24"/>
                <w:szCs w:val="24"/>
              </w:rPr>
            </w:pPr>
            <w:r>
              <w:rPr>
                <w:szCs w:val="24"/>
              </w:rPr>
              <w:t xml:space="preserve">- Văn phòng </w:t>
            </w:r>
            <w:r w:rsidRPr="009E19E4">
              <w:rPr>
                <w:szCs w:val="24"/>
              </w:rPr>
              <w:t>Chủ tịch nước;</w:t>
            </w:r>
          </w:p>
          <w:p w:rsidR="009749B5" w:rsidRDefault="009749B5" w:rsidP="00D47772">
            <w:pPr>
              <w:rPr>
                <w:sz w:val="24"/>
                <w:szCs w:val="24"/>
              </w:rPr>
            </w:pPr>
            <w:r w:rsidRPr="009E19E4">
              <w:rPr>
                <w:szCs w:val="24"/>
              </w:rPr>
              <w:t>- Văn phòng Quốc hội;</w:t>
            </w:r>
          </w:p>
          <w:p w:rsidR="009749B5" w:rsidRDefault="009749B5" w:rsidP="00D47772">
            <w:pPr>
              <w:rPr>
                <w:szCs w:val="24"/>
              </w:rPr>
            </w:pPr>
            <w:r w:rsidRPr="009E19E4">
              <w:rPr>
                <w:szCs w:val="24"/>
              </w:rPr>
              <w:t>- Tòa án nhân dân tối cao;</w:t>
            </w:r>
          </w:p>
          <w:p w:rsidR="009749B5" w:rsidRDefault="009749B5" w:rsidP="00D47772">
            <w:pPr>
              <w:rPr>
                <w:sz w:val="24"/>
                <w:szCs w:val="24"/>
              </w:rPr>
            </w:pPr>
            <w:r>
              <w:rPr>
                <w:szCs w:val="24"/>
              </w:rPr>
              <w:t>-</w:t>
            </w:r>
            <w:r w:rsidRPr="009E19E4">
              <w:rPr>
                <w:szCs w:val="24"/>
              </w:rPr>
              <w:t xml:space="preserve"> </w:t>
            </w:r>
            <w:r>
              <w:rPr>
                <w:szCs w:val="24"/>
              </w:rPr>
              <w:t>Hội đồng Dân tộc và các Uỷ ban</w:t>
            </w:r>
            <w:r w:rsidRPr="009E19E4">
              <w:rPr>
                <w:szCs w:val="24"/>
              </w:rPr>
              <w:t xml:space="preserve"> của Quốc hội;</w:t>
            </w:r>
          </w:p>
          <w:p w:rsidR="009749B5" w:rsidRDefault="009749B5" w:rsidP="00D47772">
            <w:pPr>
              <w:rPr>
                <w:sz w:val="24"/>
                <w:szCs w:val="24"/>
              </w:rPr>
            </w:pPr>
            <w:r>
              <w:rPr>
                <w:szCs w:val="24"/>
              </w:rPr>
              <w:t>- Viện Kiểm soát nhân dân</w:t>
            </w:r>
            <w:r w:rsidRPr="009E19E4">
              <w:rPr>
                <w:szCs w:val="24"/>
              </w:rPr>
              <w:t xml:space="preserve"> tối cao;</w:t>
            </w:r>
          </w:p>
          <w:p w:rsidR="009749B5" w:rsidRDefault="009749B5" w:rsidP="00D47772">
            <w:pPr>
              <w:rPr>
                <w:sz w:val="24"/>
                <w:szCs w:val="24"/>
              </w:rPr>
            </w:pPr>
            <w:r w:rsidRPr="009E19E4">
              <w:rPr>
                <w:szCs w:val="24"/>
              </w:rPr>
              <w:t>- Kiểm toán Nhà nước;</w:t>
            </w:r>
          </w:p>
          <w:p w:rsidR="009749B5" w:rsidRDefault="009749B5" w:rsidP="00D47772">
            <w:pPr>
              <w:rPr>
                <w:sz w:val="24"/>
                <w:szCs w:val="24"/>
              </w:rPr>
            </w:pPr>
            <w:r>
              <w:rPr>
                <w:szCs w:val="24"/>
              </w:rPr>
              <w:t>- Uỷ ban Giám sát tài chính Quốc gia;</w:t>
            </w:r>
          </w:p>
          <w:p w:rsidR="009749B5" w:rsidRDefault="009749B5" w:rsidP="00D47772">
            <w:pPr>
              <w:rPr>
                <w:sz w:val="24"/>
                <w:szCs w:val="24"/>
              </w:rPr>
            </w:pPr>
            <w:r>
              <w:rPr>
                <w:szCs w:val="24"/>
              </w:rPr>
              <w:t>- Ngân hàng Chính sách xã hội;</w:t>
            </w:r>
          </w:p>
          <w:p w:rsidR="009749B5" w:rsidRDefault="009749B5" w:rsidP="00D47772">
            <w:pPr>
              <w:rPr>
                <w:sz w:val="24"/>
                <w:szCs w:val="24"/>
              </w:rPr>
            </w:pPr>
            <w:r>
              <w:rPr>
                <w:szCs w:val="24"/>
              </w:rPr>
              <w:t>- Uỷ ban Trung ương Mặt trận Tổ quốc Việt Nam;</w:t>
            </w:r>
          </w:p>
          <w:p w:rsidR="009749B5" w:rsidRDefault="009749B5" w:rsidP="00D47772">
            <w:pPr>
              <w:rPr>
                <w:sz w:val="24"/>
                <w:szCs w:val="24"/>
              </w:rPr>
            </w:pPr>
            <w:r>
              <w:rPr>
                <w:szCs w:val="24"/>
              </w:rPr>
              <w:t>- Cơ quan Trung ương của</w:t>
            </w:r>
            <w:r w:rsidRPr="009E19E4">
              <w:rPr>
                <w:szCs w:val="24"/>
              </w:rPr>
              <w:t xml:space="preserve"> các đoàn thể;</w:t>
            </w:r>
          </w:p>
          <w:p w:rsidR="009749B5" w:rsidRDefault="009749B5" w:rsidP="00D47772">
            <w:pPr>
              <w:rPr>
                <w:sz w:val="24"/>
                <w:szCs w:val="24"/>
              </w:rPr>
            </w:pPr>
            <w:r w:rsidRPr="009E19E4">
              <w:rPr>
                <w:szCs w:val="24"/>
              </w:rPr>
              <w:t xml:space="preserve">- Công báo, </w:t>
            </w:r>
            <w:r>
              <w:rPr>
                <w:szCs w:val="24"/>
              </w:rPr>
              <w:t xml:space="preserve">Cổng thông tin điện tử </w:t>
            </w:r>
            <w:r w:rsidRPr="009E19E4">
              <w:rPr>
                <w:szCs w:val="24"/>
              </w:rPr>
              <w:t>Chính phủ;</w:t>
            </w:r>
          </w:p>
          <w:p w:rsidR="009749B5" w:rsidRDefault="009749B5" w:rsidP="00D47772">
            <w:pPr>
              <w:rPr>
                <w:sz w:val="24"/>
                <w:szCs w:val="24"/>
              </w:rPr>
            </w:pPr>
            <w:r w:rsidRPr="009E19E4">
              <w:rPr>
                <w:szCs w:val="24"/>
              </w:rPr>
              <w:t xml:space="preserve">- VPCP: BTCN, các PCN, </w:t>
            </w:r>
            <w:r>
              <w:rPr>
                <w:szCs w:val="24"/>
              </w:rPr>
              <w:t xml:space="preserve">Trợ lý TTg, </w:t>
            </w:r>
            <w:r w:rsidRPr="009E19E4">
              <w:rPr>
                <w:szCs w:val="24"/>
              </w:rPr>
              <w:t>các Vụ , Cục, đơn vị trực thuộc;</w:t>
            </w:r>
          </w:p>
          <w:p w:rsidR="009749B5" w:rsidRDefault="009749B5" w:rsidP="00D47772">
            <w:pPr>
              <w:rPr>
                <w:b/>
                <w:sz w:val="28"/>
                <w:szCs w:val="28"/>
              </w:rPr>
            </w:pPr>
            <w:r w:rsidRPr="009E19E4">
              <w:rPr>
                <w:szCs w:val="24"/>
              </w:rPr>
              <w:t>- Lưu: VT, KHTH.</w:t>
            </w:r>
          </w:p>
        </w:tc>
        <w:tc>
          <w:tcPr>
            <w:tcW w:w="3969" w:type="dxa"/>
          </w:tcPr>
          <w:p w:rsidR="009749B5" w:rsidRDefault="009749B5" w:rsidP="00D47772">
            <w:pPr>
              <w:spacing w:before="120" w:line="288" w:lineRule="auto"/>
              <w:jc w:val="center"/>
              <w:rPr>
                <w:b/>
                <w:sz w:val="28"/>
                <w:szCs w:val="28"/>
              </w:rPr>
            </w:pPr>
            <w:r>
              <w:rPr>
                <w:b/>
                <w:sz w:val="28"/>
                <w:szCs w:val="28"/>
              </w:rPr>
              <w:t>THỦ TƯỚNG</w:t>
            </w:r>
          </w:p>
          <w:p w:rsidR="009749B5" w:rsidRDefault="009749B5" w:rsidP="00D47772">
            <w:pPr>
              <w:spacing w:before="120" w:line="288" w:lineRule="auto"/>
              <w:jc w:val="center"/>
              <w:rPr>
                <w:b/>
                <w:sz w:val="28"/>
                <w:szCs w:val="28"/>
              </w:rPr>
            </w:pPr>
          </w:p>
          <w:p w:rsidR="009749B5" w:rsidRDefault="009749B5" w:rsidP="00D47772">
            <w:pPr>
              <w:spacing w:before="120" w:line="288" w:lineRule="auto"/>
              <w:jc w:val="center"/>
              <w:rPr>
                <w:b/>
                <w:sz w:val="28"/>
                <w:szCs w:val="28"/>
              </w:rPr>
            </w:pPr>
          </w:p>
          <w:p w:rsidR="009749B5" w:rsidRPr="00D47772" w:rsidRDefault="009749B5" w:rsidP="00D47772">
            <w:pPr>
              <w:spacing w:before="120" w:line="288" w:lineRule="auto"/>
              <w:jc w:val="center"/>
              <w:rPr>
                <w:b/>
                <w:sz w:val="38"/>
                <w:szCs w:val="28"/>
              </w:rPr>
            </w:pPr>
          </w:p>
          <w:p w:rsidR="009749B5" w:rsidRDefault="009749B5" w:rsidP="00D47772">
            <w:pPr>
              <w:spacing w:before="120" w:line="288" w:lineRule="auto"/>
              <w:jc w:val="center"/>
              <w:rPr>
                <w:b/>
                <w:sz w:val="28"/>
                <w:szCs w:val="28"/>
              </w:rPr>
            </w:pPr>
            <w:r>
              <w:rPr>
                <w:b/>
                <w:sz w:val="28"/>
                <w:szCs w:val="28"/>
              </w:rPr>
              <w:t>Nguyễn Xuân Phúc</w:t>
            </w:r>
          </w:p>
        </w:tc>
      </w:tr>
    </w:tbl>
    <w:p w:rsidR="00B107F3" w:rsidRPr="00B107F3" w:rsidRDefault="00B107F3" w:rsidP="009749B5">
      <w:pPr>
        <w:tabs>
          <w:tab w:val="left" w:pos="567"/>
        </w:tabs>
        <w:spacing w:before="120" w:line="288" w:lineRule="auto"/>
        <w:ind w:firstLine="567"/>
        <w:rPr>
          <w:sz w:val="28"/>
          <w:szCs w:val="28"/>
        </w:rPr>
      </w:pPr>
    </w:p>
    <w:sectPr w:rsidR="00B107F3" w:rsidRPr="00B107F3" w:rsidSect="006E244C">
      <w:pgSz w:w="11907" w:h="16840" w:code="9"/>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F7A"/>
    <w:multiLevelType w:val="hybridMultilevel"/>
    <w:tmpl w:val="DFD0AF44"/>
    <w:lvl w:ilvl="0" w:tplc="54D8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96704"/>
    <w:multiLevelType w:val="hybridMultilevel"/>
    <w:tmpl w:val="F682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A7095"/>
    <w:multiLevelType w:val="hybridMultilevel"/>
    <w:tmpl w:val="76EEFA28"/>
    <w:lvl w:ilvl="0" w:tplc="5CEEAEB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2353E63"/>
    <w:multiLevelType w:val="hybridMultilevel"/>
    <w:tmpl w:val="DE00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23907"/>
    <w:multiLevelType w:val="hybridMultilevel"/>
    <w:tmpl w:val="6D168384"/>
    <w:lvl w:ilvl="0" w:tplc="EF764BB2">
      <w:start w:val="1"/>
      <w:numFmt w:val="lowerLetter"/>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38536A1"/>
    <w:multiLevelType w:val="hybridMultilevel"/>
    <w:tmpl w:val="E43A3C58"/>
    <w:lvl w:ilvl="0" w:tplc="8E70F8C6">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C112B"/>
    <w:multiLevelType w:val="hybridMultilevel"/>
    <w:tmpl w:val="87CE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276E7"/>
    <w:multiLevelType w:val="hybridMultilevel"/>
    <w:tmpl w:val="78027152"/>
    <w:lvl w:ilvl="0" w:tplc="1D188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4F27683"/>
    <w:multiLevelType w:val="hybridMultilevel"/>
    <w:tmpl w:val="B69ADA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85445"/>
    <w:multiLevelType w:val="hybridMultilevel"/>
    <w:tmpl w:val="094E5106"/>
    <w:lvl w:ilvl="0" w:tplc="10DAEC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2934F93"/>
    <w:multiLevelType w:val="hybridMultilevel"/>
    <w:tmpl w:val="1908C684"/>
    <w:lvl w:ilvl="0" w:tplc="41CE0FA2">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30C26"/>
    <w:multiLevelType w:val="hybridMultilevel"/>
    <w:tmpl w:val="E34A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3"/>
  </w:num>
  <w:num w:numId="5">
    <w:abstractNumId w:val="1"/>
  </w:num>
  <w:num w:numId="6">
    <w:abstractNumId w:val="8"/>
  </w:num>
  <w:num w:numId="7">
    <w:abstractNumId w:val="7"/>
  </w:num>
  <w:num w:numId="8">
    <w:abstractNumId w:val="2"/>
  </w:num>
  <w:num w:numId="9">
    <w:abstractNumId w:val="4"/>
  </w:num>
  <w:num w:numId="10">
    <w:abstractNumId w:val="9"/>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drawingGridHorizontalSpacing w:val="110"/>
  <w:displayHorizontalDrawingGridEvery w:val="2"/>
  <w:displayVerticalDrawingGridEvery w:val="2"/>
  <w:characterSpacingControl w:val="doNotCompress"/>
  <w:compat/>
  <w:rsids>
    <w:rsidRoot w:val="00494682"/>
    <w:rsid w:val="0000392D"/>
    <w:rsid w:val="00062E80"/>
    <w:rsid w:val="000B3A20"/>
    <w:rsid w:val="000D2FEF"/>
    <w:rsid w:val="000E3A4B"/>
    <w:rsid w:val="000E44C8"/>
    <w:rsid w:val="000F1FEE"/>
    <w:rsid w:val="00186111"/>
    <w:rsid w:val="001A3C78"/>
    <w:rsid w:val="001C15C5"/>
    <w:rsid w:val="001C45AE"/>
    <w:rsid w:val="001C524B"/>
    <w:rsid w:val="001E270A"/>
    <w:rsid w:val="001E2E04"/>
    <w:rsid w:val="00200BF2"/>
    <w:rsid w:val="002207C1"/>
    <w:rsid w:val="00230964"/>
    <w:rsid w:val="00243204"/>
    <w:rsid w:val="00244965"/>
    <w:rsid w:val="0027525E"/>
    <w:rsid w:val="002E08E3"/>
    <w:rsid w:val="002E2A2C"/>
    <w:rsid w:val="002F1210"/>
    <w:rsid w:val="00336E0D"/>
    <w:rsid w:val="00381A2D"/>
    <w:rsid w:val="00396FFA"/>
    <w:rsid w:val="003B6CEB"/>
    <w:rsid w:val="00441A9A"/>
    <w:rsid w:val="00455F0B"/>
    <w:rsid w:val="00494682"/>
    <w:rsid w:val="004A5DBE"/>
    <w:rsid w:val="00542F24"/>
    <w:rsid w:val="00553C0A"/>
    <w:rsid w:val="00561859"/>
    <w:rsid w:val="0056548D"/>
    <w:rsid w:val="00566E12"/>
    <w:rsid w:val="00577EA3"/>
    <w:rsid w:val="005F3E82"/>
    <w:rsid w:val="00654A30"/>
    <w:rsid w:val="0066277A"/>
    <w:rsid w:val="00670B2F"/>
    <w:rsid w:val="00685ABB"/>
    <w:rsid w:val="00694358"/>
    <w:rsid w:val="006C3740"/>
    <w:rsid w:val="006D2333"/>
    <w:rsid w:val="006E244C"/>
    <w:rsid w:val="006F3672"/>
    <w:rsid w:val="006F5E18"/>
    <w:rsid w:val="0072309E"/>
    <w:rsid w:val="007306C4"/>
    <w:rsid w:val="007908A1"/>
    <w:rsid w:val="007A4432"/>
    <w:rsid w:val="007C4B85"/>
    <w:rsid w:val="007D6D37"/>
    <w:rsid w:val="00800E5B"/>
    <w:rsid w:val="008446D4"/>
    <w:rsid w:val="00860321"/>
    <w:rsid w:val="00870495"/>
    <w:rsid w:val="008A1E88"/>
    <w:rsid w:val="008D455C"/>
    <w:rsid w:val="00915C76"/>
    <w:rsid w:val="009749B5"/>
    <w:rsid w:val="00974E28"/>
    <w:rsid w:val="009831D7"/>
    <w:rsid w:val="0099728A"/>
    <w:rsid w:val="009C5F95"/>
    <w:rsid w:val="009E19E4"/>
    <w:rsid w:val="00A02947"/>
    <w:rsid w:val="00A07AF9"/>
    <w:rsid w:val="00A316D0"/>
    <w:rsid w:val="00A47B63"/>
    <w:rsid w:val="00A75108"/>
    <w:rsid w:val="00A90121"/>
    <w:rsid w:val="00A901F9"/>
    <w:rsid w:val="00AC6CDA"/>
    <w:rsid w:val="00AE7D84"/>
    <w:rsid w:val="00AF33BB"/>
    <w:rsid w:val="00B0280B"/>
    <w:rsid w:val="00B107F3"/>
    <w:rsid w:val="00B37A99"/>
    <w:rsid w:val="00B47693"/>
    <w:rsid w:val="00B51F83"/>
    <w:rsid w:val="00B5480E"/>
    <w:rsid w:val="00B74F8B"/>
    <w:rsid w:val="00B77C9D"/>
    <w:rsid w:val="00BC7FD4"/>
    <w:rsid w:val="00BF0CE9"/>
    <w:rsid w:val="00BF669B"/>
    <w:rsid w:val="00C03260"/>
    <w:rsid w:val="00C84918"/>
    <w:rsid w:val="00C9681B"/>
    <w:rsid w:val="00C96DB7"/>
    <w:rsid w:val="00CB0982"/>
    <w:rsid w:val="00CC3422"/>
    <w:rsid w:val="00CF2CD1"/>
    <w:rsid w:val="00DB60C3"/>
    <w:rsid w:val="00DB79C3"/>
    <w:rsid w:val="00DB7A5B"/>
    <w:rsid w:val="00DD3B9E"/>
    <w:rsid w:val="00DD4D85"/>
    <w:rsid w:val="00DD5657"/>
    <w:rsid w:val="00DE7521"/>
    <w:rsid w:val="00DF0FF6"/>
    <w:rsid w:val="00E3647B"/>
    <w:rsid w:val="00E46C31"/>
    <w:rsid w:val="00E55490"/>
    <w:rsid w:val="00EA7B3A"/>
    <w:rsid w:val="00EB63FD"/>
    <w:rsid w:val="00F344D6"/>
    <w:rsid w:val="00F35F80"/>
    <w:rsid w:val="00F54ECB"/>
    <w:rsid w:val="00F73495"/>
    <w:rsid w:val="00F75B08"/>
    <w:rsid w:val="00FB4038"/>
    <w:rsid w:val="00FC0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6"/>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82"/>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F3"/>
    <w:pPr>
      <w:ind w:left="720"/>
      <w:contextualSpacing/>
    </w:pPr>
  </w:style>
  <w:style w:type="table" w:styleId="TableGrid">
    <w:name w:val="Table Grid"/>
    <w:basedOn w:val="TableNormal"/>
    <w:uiPriority w:val="59"/>
    <w:rsid w:val="009E19E4"/>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DB7"/>
    <w:rPr>
      <w:rFonts w:ascii="Tahoma" w:hAnsi="Tahoma" w:cs="Tahoma"/>
      <w:sz w:val="16"/>
      <w:szCs w:val="16"/>
    </w:rPr>
  </w:style>
  <w:style w:type="character" w:customStyle="1" w:styleId="BalloonTextChar">
    <w:name w:val="Balloon Text Char"/>
    <w:basedOn w:val="DefaultParagraphFont"/>
    <w:link w:val="BalloonText"/>
    <w:uiPriority w:val="99"/>
    <w:semiHidden/>
    <w:rsid w:val="00C96D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C6CA-B153-40C5-A228-158BAC2F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MrToan</dc:creator>
  <cp:lastModifiedBy>MrToan</cp:lastModifiedBy>
  <cp:revision>9</cp:revision>
  <cp:lastPrinted>2018-04-03T09:36:00Z</cp:lastPrinted>
  <dcterms:created xsi:type="dcterms:W3CDTF">2018-03-27T01:38:00Z</dcterms:created>
  <dcterms:modified xsi:type="dcterms:W3CDTF">2018-04-03T09:41:00Z</dcterms:modified>
</cp:coreProperties>
</file>